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173" w:type="dxa"/>
        <w:tblLook w:val="04A0" w:firstRow="1" w:lastRow="0" w:firstColumn="1" w:lastColumn="0" w:noHBand="0" w:noVBand="1"/>
      </w:tblPr>
      <w:tblGrid>
        <w:gridCol w:w="6134"/>
        <w:gridCol w:w="4039"/>
      </w:tblGrid>
      <w:tr w:rsidR="00335273" w:rsidRPr="00480153" w14:paraId="7FD1027E" w14:textId="77777777">
        <w:tc>
          <w:tcPr>
            <w:tcW w:w="6134" w:type="dxa"/>
            <w:shd w:val="clear" w:color="auto" w:fill="auto"/>
          </w:tcPr>
          <w:p w14:paraId="6FA221A4" w14:textId="77777777" w:rsidR="00335273" w:rsidRDefault="00335273" w:rsidP="00206C15">
            <w:pPr>
              <w:rPr>
                <w:rFonts w:cs="Mangal"/>
                <w:b/>
                <w:bCs/>
                <w:sz w:val="28"/>
                <w:szCs w:val="28"/>
              </w:rPr>
            </w:pPr>
            <w:r>
              <w:rPr>
                <w:rFonts w:cs="Mangal"/>
                <w:b/>
                <w:bCs/>
                <w:sz w:val="28"/>
                <w:szCs w:val="28"/>
              </w:rPr>
              <w:t>ROMANIA</w:t>
            </w:r>
          </w:p>
        </w:tc>
        <w:tc>
          <w:tcPr>
            <w:tcW w:w="4039" w:type="dxa"/>
            <w:shd w:val="clear" w:color="auto" w:fill="auto"/>
          </w:tcPr>
          <w:p w14:paraId="39F1798E" w14:textId="77777777" w:rsidR="00335273" w:rsidRDefault="00335273">
            <w:pPr>
              <w:jc w:val="center"/>
              <w:rPr>
                <w:rFonts w:cs="Mangal"/>
                <w:b/>
                <w:bCs/>
                <w:sz w:val="28"/>
                <w:szCs w:val="28"/>
              </w:rPr>
            </w:pPr>
            <w:r>
              <w:rPr>
                <w:rFonts w:cs="Mangal"/>
                <w:b/>
                <w:bCs/>
                <w:sz w:val="28"/>
                <w:szCs w:val="28"/>
              </w:rPr>
              <w:t>Se aprobă</w:t>
            </w:r>
          </w:p>
        </w:tc>
      </w:tr>
      <w:tr w:rsidR="00335273" w:rsidRPr="00480153" w14:paraId="59537DCB" w14:textId="77777777">
        <w:tc>
          <w:tcPr>
            <w:tcW w:w="6134" w:type="dxa"/>
            <w:shd w:val="clear" w:color="auto" w:fill="auto"/>
          </w:tcPr>
          <w:p w14:paraId="105987AC" w14:textId="77777777" w:rsidR="00335273" w:rsidRDefault="00335273" w:rsidP="00206C15">
            <w:pPr>
              <w:rPr>
                <w:rFonts w:cs="Mangal"/>
                <w:b/>
                <w:bCs/>
                <w:sz w:val="28"/>
                <w:szCs w:val="28"/>
              </w:rPr>
            </w:pPr>
            <w:r>
              <w:rPr>
                <w:rFonts w:cs="Mangal"/>
                <w:b/>
                <w:bCs/>
                <w:sz w:val="28"/>
                <w:szCs w:val="28"/>
              </w:rPr>
              <w:t xml:space="preserve">JUDETUL VRANCEA                                                        </w:t>
            </w:r>
          </w:p>
        </w:tc>
        <w:tc>
          <w:tcPr>
            <w:tcW w:w="4039" w:type="dxa"/>
            <w:shd w:val="clear" w:color="auto" w:fill="auto"/>
          </w:tcPr>
          <w:p w14:paraId="55B69A8A" w14:textId="77777777" w:rsidR="00335273" w:rsidRDefault="00335273">
            <w:pPr>
              <w:jc w:val="center"/>
              <w:rPr>
                <w:rFonts w:cs="Mangal"/>
                <w:b/>
                <w:bCs/>
                <w:sz w:val="28"/>
                <w:szCs w:val="28"/>
              </w:rPr>
            </w:pPr>
            <w:r>
              <w:rPr>
                <w:rFonts w:cs="Mangal"/>
                <w:b/>
                <w:bCs/>
                <w:sz w:val="28"/>
                <w:szCs w:val="28"/>
              </w:rPr>
              <w:t>Președinte</w:t>
            </w:r>
          </w:p>
        </w:tc>
      </w:tr>
      <w:tr w:rsidR="00335273" w:rsidRPr="00480153" w14:paraId="28881FCE" w14:textId="77777777">
        <w:tc>
          <w:tcPr>
            <w:tcW w:w="6134" w:type="dxa"/>
            <w:shd w:val="clear" w:color="auto" w:fill="auto"/>
          </w:tcPr>
          <w:p w14:paraId="730DB088" w14:textId="77777777" w:rsidR="00335273" w:rsidRDefault="00335273" w:rsidP="00206C15">
            <w:pPr>
              <w:rPr>
                <w:rFonts w:cs="Mangal"/>
                <w:b/>
                <w:bCs/>
                <w:sz w:val="28"/>
                <w:szCs w:val="28"/>
              </w:rPr>
            </w:pPr>
            <w:r>
              <w:rPr>
                <w:rFonts w:cs="Mangal"/>
                <w:b/>
                <w:bCs/>
                <w:sz w:val="28"/>
                <w:szCs w:val="28"/>
              </w:rPr>
              <w:t>CONSILIUL JUDEȚEAN</w:t>
            </w:r>
          </w:p>
        </w:tc>
        <w:tc>
          <w:tcPr>
            <w:tcW w:w="4039" w:type="dxa"/>
            <w:shd w:val="clear" w:color="auto" w:fill="auto"/>
          </w:tcPr>
          <w:p w14:paraId="6F3A3ECD" w14:textId="77777777" w:rsidR="00335273" w:rsidRDefault="00335273">
            <w:pPr>
              <w:jc w:val="center"/>
              <w:rPr>
                <w:rFonts w:cs="Mangal"/>
                <w:b/>
                <w:bCs/>
                <w:sz w:val="28"/>
                <w:szCs w:val="28"/>
              </w:rPr>
            </w:pPr>
            <w:r>
              <w:rPr>
                <w:rFonts w:cs="Mangal"/>
                <w:b/>
                <w:bCs/>
                <w:sz w:val="28"/>
                <w:szCs w:val="28"/>
              </w:rPr>
              <w:t>Cătălin TOMA</w:t>
            </w:r>
          </w:p>
        </w:tc>
      </w:tr>
      <w:tr w:rsidR="00335273" w:rsidRPr="00480153" w14:paraId="4558C91D" w14:textId="77777777">
        <w:tc>
          <w:tcPr>
            <w:tcW w:w="6134" w:type="dxa"/>
            <w:shd w:val="clear" w:color="auto" w:fill="auto"/>
          </w:tcPr>
          <w:p w14:paraId="69D6F09F" w14:textId="2A034C29" w:rsidR="00335273" w:rsidRDefault="00335273">
            <w:pPr>
              <w:jc w:val="both"/>
              <w:rPr>
                <w:b/>
                <w:sz w:val="28"/>
                <w:szCs w:val="28"/>
                <w:lang w:val="ro-RO"/>
              </w:rPr>
            </w:pPr>
            <w:r>
              <w:rPr>
                <w:b/>
                <w:sz w:val="28"/>
                <w:szCs w:val="28"/>
                <w:lang w:val="ro-RO"/>
              </w:rPr>
              <w:t>Serviciul achiziții publice</w:t>
            </w:r>
          </w:p>
        </w:tc>
        <w:tc>
          <w:tcPr>
            <w:tcW w:w="4039" w:type="dxa"/>
            <w:shd w:val="clear" w:color="auto" w:fill="auto"/>
          </w:tcPr>
          <w:p w14:paraId="75D9F354" w14:textId="77777777" w:rsidR="00335273" w:rsidRDefault="00335273" w:rsidP="00206C15">
            <w:pPr>
              <w:rPr>
                <w:rFonts w:cs="Mangal"/>
                <w:b/>
                <w:bCs/>
                <w:sz w:val="28"/>
                <w:szCs w:val="28"/>
              </w:rPr>
            </w:pPr>
          </w:p>
        </w:tc>
      </w:tr>
      <w:tr w:rsidR="00335273" w:rsidRPr="00480153" w14:paraId="71CF2895" w14:textId="77777777">
        <w:tc>
          <w:tcPr>
            <w:tcW w:w="6134" w:type="dxa"/>
            <w:shd w:val="clear" w:color="auto" w:fill="auto"/>
          </w:tcPr>
          <w:p w14:paraId="47518492" w14:textId="77777777" w:rsidR="00335273" w:rsidRDefault="00335273" w:rsidP="00206C15">
            <w:pPr>
              <w:rPr>
                <w:rFonts w:cs="Mangal"/>
                <w:b/>
                <w:bCs/>
                <w:sz w:val="28"/>
                <w:szCs w:val="28"/>
              </w:rPr>
            </w:pPr>
          </w:p>
          <w:p w14:paraId="7A283114" w14:textId="5504301A" w:rsidR="00335273" w:rsidRDefault="00335273" w:rsidP="00206C15">
            <w:pPr>
              <w:rPr>
                <w:rFonts w:cs="Mangal"/>
                <w:b/>
                <w:bCs/>
                <w:sz w:val="28"/>
                <w:szCs w:val="28"/>
              </w:rPr>
            </w:pPr>
            <w:r>
              <w:rPr>
                <w:rFonts w:cs="Mangal"/>
                <w:b/>
                <w:bCs/>
                <w:sz w:val="28"/>
                <w:szCs w:val="28"/>
              </w:rPr>
              <w:t xml:space="preserve">Nr. </w:t>
            </w:r>
            <w:r w:rsidR="00181082">
              <w:rPr>
                <w:rFonts w:cs="Mangal"/>
                <w:b/>
                <w:bCs/>
                <w:sz w:val="28"/>
                <w:szCs w:val="28"/>
              </w:rPr>
              <w:t>27558/23.12.2022</w:t>
            </w:r>
          </w:p>
        </w:tc>
        <w:tc>
          <w:tcPr>
            <w:tcW w:w="4039" w:type="dxa"/>
            <w:shd w:val="clear" w:color="auto" w:fill="auto"/>
          </w:tcPr>
          <w:p w14:paraId="72EFBA68" w14:textId="77777777" w:rsidR="00335273" w:rsidRDefault="00335273" w:rsidP="00206C15">
            <w:pPr>
              <w:rPr>
                <w:rFonts w:cs="Mangal"/>
                <w:b/>
                <w:bCs/>
                <w:sz w:val="28"/>
                <w:szCs w:val="28"/>
              </w:rPr>
            </w:pPr>
          </w:p>
        </w:tc>
      </w:tr>
    </w:tbl>
    <w:p w14:paraId="5F5398F2" w14:textId="77777777" w:rsidR="00335273" w:rsidRDefault="00335273" w:rsidP="00D40CAC">
      <w:pPr>
        <w:rPr>
          <w:b/>
          <w:sz w:val="28"/>
          <w:szCs w:val="28"/>
          <w:lang w:val="ro-RO"/>
        </w:rPr>
      </w:pPr>
    </w:p>
    <w:p w14:paraId="412EDBFF" w14:textId="77777777" w:rsidR="00335273" w:rsidRDefault="00335273" w:rsidP="00D40CAC">
      <w:pPr>
        <w:rPr>
          <w:b/>
          <w:sz w:val="28"/>
          <w:szCs w:val="28"/>
          <w:lang w:val="ro-RO"/>
        </w:rPr>
      </w:pPr>
    </w:p>
    <w:p w14:paraId="1AB1E4FF" w14:textId="77777777" w:rsidR="0088313A" w:rsidRPr="008B1913" w:rsidRDefault="0088313A" w:rsidP="00D40CAC">
      <w:pPr>
        <w:jc w:val="center"/>
        <w:rPr>
          <w:b/>
          <w:sz w:val="28"/>
          <w:szCs w:val="28"/>
          <w:lang w:val="ro-RO"/>
        </w:rPr>
      </w:pPr>
    </w:p>
    <w:p w14:paraId="35AAB9EB" w14:textId="13D8D234" w:rsidR="00D40CAC" w:rsidRDefault="00D40CAC" w:rsidP="00D40CAC">
      <w:pPr>
        <w:jc w:val="center"/>
        <w:rPr>
          <w:b/>
          <w:sz w:val="28"/>
          <w:szCs w:val="28"/>
          <w:lang w:val="ro-RO"/>
        </w:rPr>
      </w:pPr>
      <w:r w:rsidRPr="008B1913">
        <w:rPr>
          <w:b/>
          <w:sz w:val="28"/>
          <w:szCs w:val="28"/>
          <w:lang w:val="ro-RO"/>
        </w:rPr>
        <w:t xml:space="preserve">REFERAT </w:t>
      </w:r>
    </w:p>
    <w:p w14:paraId="0004DDCD" w14:textId="55BDAAD5" w:rsidR="00214812" w:rsidRDefault="00214812" w:rsidP="00D40CAC">
      <w:pPr>
        <w:jc w:val="center"/>
        <w:rPr>
          <w:b/>
          <w:sz w:val="28"/>
          <w:szCs w:val="28"/>
          <w:lang w:val="ro-RO"/>
        </w:rPr>
      </w:pPr>
    </w:p>
    <w:p w14:paraId="1C3F0EE4" w14:textId="20F06902" w:rsidR="006B10B7" w:rsidRDefault="00214812" w:rsidP="00C1032D">
      <w:pPr>
        <w:ind w:left="1134" w:hanging="1134"/>
        <w:jc w:val="both"/>
        <w:rPr>
          <w:b/>
          <w:sz w:val="28"/>
          <w:szCs w:val="28"/>
          <w:lang w:val="ro-RO" w:eastAsia="ro-RO"/>
        </w:rPr>
      </w:pPr>
      <w:r w:rsidRPr="00480153">
        <w:rPr>
          <w:b/>
          <w:bCs/>
          <w:sz w:val="28"/>
          <w:szCs w:val="28"/>
        </w:rPr>
        <w:t>privind</w:t>
      </w:r>
      <w:r w:rsidRPr="00480153">
        <w:rPr>
          <w:sz w:val="28"/>
          <w:szCs w:val="28"/>
        </w:rPr>
        <w:t xml:space="preserve">: </w:t>
      </w:r>
      <w:r w:rsidR="00F334D4" w:rsidRPr="00214812">
        <w:rPr>
          <w:bCs/>
          <w:sz w:val="28"/>
          <w:szCs w:val="28"/>
          <w:lang w:val="ro-RO" w:eastAsia="ro-RO"/>
        </w:rPr>
        <w:t xml:space="preserve">aprobarea </w:t>
      </w:r>
      <w:r w:rsidR="00C1032D" w:rsidRPr="00C1032D">
        <w:rPr>
          <w:bCs/>
          <w:sz w:val="28"/>
          <w:szCs w:val="28"/>
          <w:lang w:val="ro-RO" w:eastAsia="ro-RO"/>
        </w:rPr>
        <w:t>norme</w:t>
      </w:r>
      <w:r w:rsidR="00C1032D">
        <w:rPr>
          <w:bCs/>
          <w:sz w:val="28"/>
          <w:szCs w:val="28"/>
          <w:lang w:val="ro-RO" w:eastAsia="ro-RO"/>
        </w:rPr>
        <w:t>lor</w:t>
      </w:r>
      <w:r w:rsidR="00C1032D" w:rsidRPr="00C1032D">
        <w:rPr>
          <w:bCs/>
          <w:sz w:val="28"/>
          <w:szCs w:val="28"/>
          <w:lang w:val="ro-RO" w:eastAsia="ro-RO"/>
        </w:rPr>
        <w:t xml:space="preserve"> specifice privind desfăşurarea activităţii </w:t>
      </w:r>
      <w:r w:rsidR="009B0569">
        <w:rPr>
          <w:bCs/>
          <w:sz w:val="28"/>
          <w:szCs w:val="28"/>
          <w:lang w:val="ro-RO" w:eastAsia="ro-RO"/>
        </w:rPr>
        <w:t>U</w:t>
      </w:r>
      <w:r w:rsidR="00C1032D" w:rsidRPr="00C1032D">
        <w:rPr>
          <w:bCs/>
          <w:sz w:val="28"/>
          <w:szCs w:val="28"/>
          <w:lang w:val="ro-RO" w:eastAsia="ro-RO"/>
        </w:rPr>
        <w:t xml:space="preserve">nității de </w:t>
      </w:r>
      <w:r w:rsidR="009B0569">
        <w:rPr>
          <w:bCs/>
          <w:sz w:val="28"/>
          <w:szCs w:val="28"/>
          <w:lang w:val="ro-RO" w:eastAsia="ro-RO"/>
        </w:rPr>
        <w:t>A</w:t>
      </w:r>
      <w:r w:rsidR="00C1032D" w:rsidRPr="00C1032D">
        <w:rPr>
          <w:bCs/>
          <w:sz w:val="28"/>
          <w:szCs w:val="28"/>
          <w:lang w:val="ro-RO" w:eastAsia="ro-RO"/>
        </w:rPr>
        <w:t xml:space="preserve">chiziții </w:t>
      </w:r>
      <w:r w:rsidR="00A30950">
        <w:rPr>
          <w:bCs/>
          <w:sz w:val="28"/>
          <w:szCs w:val="28"/>
          <w:lang w:val="ro-RO" w:eastAsia="ro-RO"/>
        </w:rPr>
        <w:t>P</w:t>
      </w:r>
      <w:r w:rsidR="00A30950" w:rsidRPr="00A30950">
        <w:rPr>
          <w:bCs/>
          <w:sz w:val="28"/>
          <w:szCs w:val="28"/>
          <w:lang w:val="ro-RO" w:eastAsia="ro-RO"/>
        </w:rPr>
        <w:t xml:space="preserve">ublice </w:t>
      </w:r>
      <w:r w:rsidR="009B0569">
        <w:rPr>
          <w:bCs/>
          <w:sz w:val="28"/>
          <w:szCs w:val="28"/>
          <w:lang w:val="ro-RO" w:eastAsia="ro-RO"/>
        </w:rPr>
        <w:t>C</w:t>
      </w:r>
      <w:r w:rsidR="00C1032D" w:rsidRPr="00C1032D">
        <w:rPr>
          <w:bCs/>
          <w:sz w:val="28"/>
          <w:szCs w:val="28"/>
          <w:lang w:val="ro-RO" w:eastAsia="ro-RO"/>
        </w:rPr>
        <w:t>entralizate</w:t>
      </w:r>
    </w:p>
    <w:p w14:paraId="7B3504E3" w14:textId="58A28CC2" w:rsidR="002C5740" w:rsidRDefault="002C5740" w:rsidP="006B10B7">
      <w:pPr>
        <w:ind w:firstLine="720"/>
        <w:jc w:val="center"/>
        <w:rPr>
          <w:b/>
          <w:sz w:val="28"/>
          <w:szCs w:val="28"/>
          <w:lang w:val="ro-RO" w:eastAsia="ro-RO"/>
        </w:rPr>
      </w:pPr>
    </w:p>
    <w:p w14:paraId="6EFED0A1" w14:textId="77777777" w:rsidR="00185354" w:rsidRDefault="00185354" w:rsidP="006B10B7">
      <w:pPr>
        <w:ind w:firstLine="720"/>
        <w:jc w:val="center"/>
        <w:rPr>
          <w:b/>
          <w:sz w:val="28"/>
          <w:szCs w:val="28"/>
          <w:lang w:val="ro-RO" w:eastAsia="ro-RO"/>
        </w:rPr>
      </w:pPr>
    </w:p>
    <w:p w14:paraId="1DC57BAD" w14:textId="2B849832" w:rsidR="008A1380" w:rsidRDefault="008A1380" w:rsidP="0015782D">
      <w:pPr>
        <w:jc w:val="both"/>
        <w:rPr>
          <w:sz w:val="28"/>
          <w:szCs w:val="28"/>
          <w:lang w:val="ro-RO"/>
        </w:rPr>
      </w:pPr>
      <w:r>
        <w:rPr>
          <w:sz w:val="28"/>
          <w:szCs w:val="28"/>
          <w:lang w:val="ro-RO"/>
        </w:rPr>
        <w:t xml:space="preserve">ANAP derulează proiectul </w:t>
      </w:r>
      <w:r w:rsidR="00F334D4" w:rsidRPr="008B1913">
        <w:rPr>
          <w:sz w:val="28"/>
          <w:szCs w:val="28"/>
          <w:lang w:val="ro-RO"/>
        </w:rPr>
        <w:t xml:space="preserve">„Sprijin în implementarea Strategiei Naționale în domeniul Achizițiilor Publice prin consolidarea capacității administrative a Agenției Naționale pentru Achiziții Publice și a autorităților contractante, cod SIPOCA 625” (“proiectul SIPOCA 625”), ale cărui obiective specifice constau, între altele, </w:t>
      </w:r>
      <w:r w:rsidR="00B55EE0" w:rsidRPr="008B1913">
        <w:rPr>
          <w:sz w:val="28"/>
          <w:szCs w:val="28"/>
          <w:lang w:val="ro-RO"/>
        </w:rPr>
        <w:t xml:space="preserve">și în </w:t>
      </w:r>
      <w:r w:rsidR="009B0569">
        <w:rPr>
          <w:sz w:val="28"/>
          <w:szCs w:val="28"/>
          <w:lang w:val="ro-RO"/>
        </w:rPr>
        <w:t xml:space="preserve">elaboarea unei foi de parcurs </w:t>
      </w:r>
      <w:r w:rsidR="00B55EE0" w:rsidRPr="008B1913">
        <w:rPr>
          <w:sz w:val="28"/>
          <w:szCs w:val="28"/>
          <w:lang w:val="ro-RO"/>
        </w:rPr>
        <w:t xml:space="preserve">pentru care Consiliul Județean </w:t>
      </w:r>
      <w:r>
        <w:rPr>
          <w:sz w:val="28"/>
          <w:szCs w:val="28"/>
          <w:lang w:val="ro-RO"/>
        </w:rPr>
        <w:t>Vrancea</w:t>
      </w:r>
      <w:r w:rsidR="00B55EE0" w:rsidRPr="008B1913">
        <w:rPr>
          <w:sz w:val="28"/>
          <w:szCs w:val="28"/>
          <w:lang w:val="ro-RO"/>
        </w:rPr>
        <w:t xml:space="preserve"> și-a exprimat intenția de participare în cadrul chestionarului deschis în perioada 8 – 29 aprilie 2021</w:t>
      </w:r>
      <w:r>
        <w:rPr>
          <w:sz w:val="28"/>
          <w:szCs w:val="28"/>
          <w:lang w:val="ro-RO"/>
        </w:rPr>
        <w:t>.</w:t>
      </w:r>
    </w:p>
    <w:p w14:paraId="1B0281E7" w14:textId="77E9BC46" w:rsidR="0015782D" w:rsidRPr="0015782D" w:rsidRDefault="00CA4458" w:rsidP="0015782D">
      <w:pPr>
        <w:jc w:val="both"/>
        <w:rPr>
          <w:sz w:val="28"/>
          <w:szCs w:val="28"/>
          <w:lang w:val="ro-RO"/>
        </w:rPr>
      </w:pPr>
      <w:r>
        <w:rPr>
          <w:sz w:val="28"/>
          <w:szCs w:val="28"/>
          <w:lang w:val="ro-RO"/>
        </w:rPr>
        <w:t>Î</w:t>
      </w:r>
      <w:r w:rsidR="0015782D" w:rsidRPr="0015782D">
        <w:rPr>
          <w:sz w:val="28"/>
          <w:szCs w:val="28"/>
          <w:lang w:val="ro-RO"/>
        </w:rPr>
        <w:t>n data de 16 iulie 2021 între Consiliul Județean Vrancea și Agenția Națională pentru Achiziții Publice (ANAP) a fost semnat un Protocol de Colaborare în scopul elaborării unei foi de parcurs pentru înființarea de către Consiliul Județean Vrancea a unei Unități de Achiziții publice Centralizate (UCA) la nivelul județului.</w:t>
      </w:r>
    </w:p>
    <w:p w14:paraId="52DC3871" w14:textId="5844E813" w:rsidR="0015782D" w:rsidRPr="00185354" w:rsidRDefault="0015782D" w:rsidP="0015782D">
      <w:pPr>
        <w:jc w:val="both"/>
        <w:rPr>
          <w:sz w:val="28"/>
          <w:szCs w:val="28"/>
          <w:lang w:val="ro-RO"/>
        </w:rPr>
      </w:pPr>
      <w:r w:rsidRPr="0015782D">
        <w:rPr>
          <w:sz w:val="28"/>
          <w:szCs w:val="28"/>
          <w:lang w:val="ro-RO"/>
        </w:rPr>
        <w:t xml:space="preserve">Semnarea acestui Protocol s-a realizat în urma procesului de selecție inițiat de către ANAP în aprilie 2021 și adresat organizațiilor interesate să realizeze achiziții centralizate la nivel local, în vederea satisfacerii necesităților în condiții de eficiență economică și socială, prin agregarea cererii de la nivelul administrației locale. Beneficiile preconizate ale funcționării UCA se referă atât la reducerea costurilor și a riscurilor de neconformitate față de legislația în </w:t>
      </w:r>
      <w:r w:rsidRPr="00185354">
        <w:rPr>
          <w:sz w:val="28"/>
          <w:szCs w:val="28"/>
          <w:lang w:val="ro-RO"/>
        </w:rPr>
        <w:t>achiziții publice, cât și la gestionarea mai eficientă a procedurilor de achiziții publice și obținerea unui nivel de calitate superior pentru bunurile și serviciile achiziționate.</w:t>
      </w:r>
    </w:p>
    <w:p w14:paraId="656E34F8" w14:textId="6E74DF63" w:rsidR="0015782D" w:rsidRPr="00185354" w:rsidRDefault="0015782D" w:rsidP="0015782D">
      <w:pPr>
        <w:jc w:val="both"/>
        <w:rPr>
          <w:sz w:val="28"/>
          <w:szCs w:val="28"/>
          <w:lang w:val="ro-RO"/>
        </w:rPr>
      </w:pPr>
      <w:r w:rsidRPr="00185354">
        <w:rPr>
          <w:sz w:val="28"/>
          <w:szCs w:val="28"/>
          <w:lang w:val="ro-RO"/>
        </w:rPr>
        <w:t xml:space="preserve">Consiliul Județean Vrancea </w:t>
      </w:r>
      <w:r w:rsidR="00286143" w:rsidRPr="00185354">
        <w:rPr>
          <w:sz w:val="28"/>
          <w:szCs w:val="28"/>
          <w:lang w:val="ro-RO"/>
        </w:rPr>
        <w:t xml:space="preserve">fiind </w:t>
      </w:r>
      <w:r w:rsidRPr="00185354">
        <w:rPr>
          <w:sz w:val="28"/>
          <w:szCs w:val="28"/>
          <w:lang w:val="ro-RO"/>
        </w:rPr>
        <w:t>unul dintre susținătorii activi ai inițiativei de înființare a UCA locale în România</w:t>
      </w:r>
      <w:r w:rsidR="00286143" w:rsidRPr="00185354">
        <w:rPr>
          <w:sz w:val="28"/>
          <w:szCs w:val="28"/>
          <w:lang w:val="ro-RO"/>
        </w:rPr>
        <w:t xml:space="preserve"> și </w:t>
      </w:r>
      <w:r w:rsidRPr="00185354">
        <w:rPr>
          <w:sz w:val="28"/>
          <w:szCs w:val="28"/>
          <w:lang w:val="ro-RO"/>
        </w:rPr>
        <w:t xml:space="preserve">unul dintre Promotorii de bune practici ai proiectului, </w:t>
      </w:r>
      <w:r w:rsidR="00286143" w:rsidRPr="00185354">
        <w:rPr>
          <w:sz w:val="28"/>
          <w:szCs w:val="28"/>
          <w:lang w:val="ro-RO"/>
        </w:rPr>
        <w:t>a c</w:t>
      </w:r>
      <w:r w:rsidRPr="00185354">
        <w:rPr>
          <w:sz w:val="28"/>
          <w:szCs w:val="28"/>
          <w:lang w:val="ro-RO"/>
        </w:rPr>
        <w:t>olect</w:t>
      </w:r>
      <w:r w:rsidR="00286143" w:rsidRPr="00185354">
        <w:rPr>
          <w:sz w:val="28"/>
          <w:szCs w:val="28"/>
          <w:lang w:val="ro-RO"/>
        </w:rPr>
        <w:t xml:space="preserve">at </w:t>
      </w:r>
      <w:r w:rsidRPr="00185354">
        <w:rPr>
          <w:sz w:val="28"/>
          <w:szCs w:val="28"/>
          <w:lang w:val="ro-RO"/>
        </w:rPr>
        <w:t>informații privind achizițiile realizate/estimate de către organizațiile vizate de a beneficia de serviciile UCA de la nivelul Consiliului Judetean Vrancea.</w:t>
      </w:r>
    </w:p>
    <w:p w14:paraId="6CF8512A" w14:textId="4FF2F9D7" w:rsidR="0015782D" w:rsidRPr="00185354" w:rsidRDefault="0015782D" w:rsidP="0015782D">
      <w:pPr>
        <w:jc w:val="both"/>
        <w:rPr>
          <w:sz w:val="28"/>
          <w:szCs w:val="28"/>
          <w:lang w:val="ro-RO"/>
        </w:rPr>
      </w:pPr>
      <w:r w:rsidRPr="00185354">
        <w:rPr>
          <w:sz w:val="28"/>
          <w:szCs w:val="28"/>
          <w:lang w:val="ro-RO"/>
        </w:rPr>
        <w:t>Astfel, pentru a putea trage concluzii pertinente cu privire la domeniile de achiziții care ar trebui</w:t>
      </w:r>
      <w:r w:rsidRPr="0015782D">
        <w:rPr>
          <w:sz w:val="28"/>
          <w:szCs w:val="28"/>
          <w:lang w:val="ro-RO"/>
        </w:rPr>
        <w:t xml:space="preserve"> să fie incluse în foaia de parcurs, au fost colectate date privind achizițiile realizate în perioada 2018-2020 și achizițiile estimate pentru anul 2021 de către organizațiile interesate de a beneficia de serviciile unei Unități de Achiziții Publice Centralizate la nivel local, respectiv de la instituțiile subordonate Consiliului Județean și primăriilor din județ, fiind transmis un chestionar și un </w:t>
      </w:r>
      <w:r w:rsidRPr="00185354">
        <w:rPr>
          <w:sz w:val="28"/>
          <w:szCs w:val="28"/>
          <w:lang w:val="ro-RO"/>
        </w:rPr>
        <w:t xml:space="preserve">materialul de informare (ce </w:t>
      </w:r>
      <w:r w:rsidRPr="00185354">
        <w:rPr>
          <w:sz w:val="28"/>
          <w:szCs w:val="28"/>
          <w:lang w:val="ro-RO"/>
        </w:rPr>
        <w:lastRenderedPageBreak/>
        <w:t>cuprinde conceptul de UCA la nivel local, precum și avantajele în implementarea conceptului UCA).</w:t>
      </w:r>
    </w:p>
    <w:p w14:paraId="6A973629" w14:textId="77777777" w:rsidR="008D2E05" w:rsidRDefault="008D2E05" w:rsidP="00DD08DF">
      <w:pPr>
        <w:jc w:val="both"/>
        <w:rPr>
          <w:sz w:val="28"/>
          <w:szCs w:val="28"/>
          <w:lang w:val="ro-RO"/>
        </w:rPr>
      </w:pPr>
    </w:p>
    <w:p w14:paraId="1530117D" w14:textId="4605C1D3" w:rsidR="00DD08DF" w:rsidRDefault="00DD08DF" w:rsidP="00DD08DF">
      <w:pPr>
        <w:jc w:val="both"/>
        <w:rPr>
          <w:sz w:val="28"/>
          <w:szCs w:val="28"/>
          <w:lang w:val="ro-RO"/>
        </w:rPr>
      </w:pPr>
      <w:r w:rsidRPr="00DD08DF">
        <w:rPr>
          <w:sz w:val="28"/>
          <w:szCs w:val="28"/>
          <w:lang w:val="ro-RO"/>
        </w:rPr>
        <w:t>Judeţului Vrancea i se atribuie calitatea de unitate de achiziţii centralizate (UCA), iar activitățile specifice acestei UCA se realizează printr-un compartiment separat din cadrul aparatului de specialitate al Consiliului Județean Vrancea</w:t>
      </w:r>
      <w:r>
        <w:rPr>
          <w:sz w:val="28"/>
          <w:szCs w:val="28"/>
          <w:lang w:val="ro-RO"/>
        </w:rPr>
        <w:t>, prin n</w:t>
      </w:r>
      <w:r w:rsidRPr="00DD08DF">
        <w:rPr>
          <w:sz w:val="28"/>
          <w:szCs w:val="28"/>
          <w:lang w:val="ro-RO"/>
        </w:rPr>
        <w:t>orme</w:t>
      </w:r>
      <w:r>
        <w:rPr>
          <w:sz w:val="28"/>
          <w:szCs w:val="28"/>
          <w:lang w:val="ro-RO"/>
        </w:rPr>
        <w:t>le</w:t>
      </w:r>
      <w:r w:rsidRPr="00DD08DF">
        <w:rPr>
          <w:sz w:val="28"/>
          <w:szCs w:val="28"/>
          <w:lang w:val="ro-RO"/>
        </w:rPr>
        <w:t xml:space="preserve"> specifice privind desfăşurarea activităţii Unității de achiziții centralizate, </w:t>
      </w:r>
      <w:r w:rsidR="004427DC">
        <w:rPr>
          <w:sz w:val="28"/>
          <w:szCs w:val="28"/>
          <w:lang w:val="ro-RO"/>
        </w:rPr>
        <w:t>st</w:t>
      </w:r>
      <w:r w:rsidR="00747E6F">
        <w:rPr>
          <w:sz w:val="28"/>
          <w:szCs w:val="28"/>
          <w:lang w:val="ro-RO"/>
        </w:rPr>
        <w:t>abilindu-se</w:t>
      </w:r>
      <w:r w:rsidRPr="00DD08DF">
        <w:rPr>
          <w:sz w:val="28"/>
          <w:szCs w:val="28"/>
          <w:lang w:val="ro-RO"/>
        </w:rPr>
        <w:t xml:space="preserve"> cadrul juridic unitar pentru activitățile specifice întreprinse de Compartimentul Unitate Centralizată de Achiziții.</w:t>
      </w:r>
    </w:p>
    <w:p w14:paraId="5071CA35" w14:textId="5A0FF7DE" w:rsidR="008309BC" w:rsidRPr="008309BC" w:rsidRDefault="008309BC" w:rsidP="008309BC">
      <w:pPr>
        <w:jc w:val="both"/>
        <w:rPr>
          <w:sz w:val="28"/>
          <w:szCs w:val="28"/>
          <w:lang w:val="ro-RO"/>
        </w:rPr>
      </w:pPr>
      <w:r>
        <w:rPr>
          <w:sz w:val="28"/>
          <w:szCs w:val="28"/>
          <w:lang w:val="ro-RO"/>
        </w:rPr>
        <w:t>Menționăm că o</w:t>
      </w:r>
      <w:r w:rsidRPr="008309BC">
        <w:rPr>
          <w:sz w:val="28"/>
          <w:szCs w:val="28"/>
          <w:lang w:val="ro-RO"/>
        </w:rPr>
        <w:t>biectivele principale ale UCA</w:t>
      </w:r>
      <w:r w:rsidR="00D10644">
        <w:rPr>
          <w:sz w:val="28"/>
          <w:szCs w:val="28"/>
          <w:lang w:val="ro-RO"/>
        </w:rPr>
        <w:t xml:space="preserve"> constau în:</w:t>
      </w:r>
    </w:p>
    <w:p w14:paraId="38674465" w14:textId="24C63165" w:rsidR="008309BC" w:rsidRPr="008309BC" w:rsidRDefault="002A518A" w:rsidP="008309BC">
      <w:pPr>
        <w:jc w:val="both"/>
        <w:rPr>
          <w:sz w:val="28"/>
          <w:szCs w:val="28"/>
          <w:lang w:val="ro-RO"/>
        </w:rPr>
      </w:pPr>
      <w:r>
        <w:rPr>
          <w:sz w:val="28"/>
          <w:szCs w:val="28"/>
          <w:lang w:val="ro-RO"/>
        </w:rPr>
        <w:t xml:space="preserve">- </w:t>
      </w:r>
      <w:r w:rsidR="008309BC" w:rsidRPr="008309BC">
        <w:rPr>
          <w:sz w:val="28"/>
          <w:szCs w:val="28"/>
          <w:lang w:val="ro-RO"/>
        </w:rPr>
        <w:t>optimizarea condițiilor și a procesului de achiziții publice pe bază de criterii economice și de calitate și în condițiile asigurării securității juridice, prin agregarea necesităților utilizatorilor;</w:t>
      </w:r>
    </w:p>
    <w:p w14:paraId="6CB7BB2B" w14:textId="6421B011" w:rsidR="008309BC" w:rsidRPr="008309BC" w:rsidRDefault="002A518A" w:rsidP="008309BC">
      <w:pPr>
        <w:jc w:val="both"/>
        <w:rPr>
          <w:sz w:val="28"/>
          <w:szCs w:val="28"/>
          <w:lang w:val="ro-RO"/>
        </w:rPr>
      </w:pPr>
      <w:r>
        <w:rPr>
          <w:sz w:val="28"/>
          <w:szCs w:val="28"/>
          <w:lang w:val="ro-RO"/>
        </w:rPr>
        <w:t xml:space="preserve">- </w:t>
      </w:r>
      <w:r w:rsidR="008309BC" w:rsidRPr="008309BC">
        <w:rPr>
          <w:sz w:val="28"/>
          <w:szCs w:val="28"/>
          <w:lang w:val="ro-RO"/>
        </w:rPr>
        <w:t>îmbunătățirea și profesionalizarea achizițiilor publice la nivelul Județului Vrancea;</w:t>
      </w:r>
    </w:p>
    <w:p w14:paraId="2705AD2A" w14:textId="27EEF452" w:rsidR="003962B9" w:rsidRPr="00000B80" w:rsidRDefault="002A518A" w:rsidP="003962B9">
      <w:pPr>
        <w:jc w:val="both"/>
        <w:rPr>
          <w:sz w:val="28"/>
          <w:szCs w:val="28"/>
          <w:lang w:val="ro-RO"/>
        </w:rPr>
      </w:pPr>
      <w:r w:rsidRPr="00000B80">
        <w:rPr>
          <w:sz w:val="28"/>
          <w:szCs w:val="28"/>
          <w:lang w:val="ro-RO"/>
        </w:rPr>
        <w:t xml:space="preserve">- </w:t>
      </w:r>
      <w:r w:rsidR="008309BC" w:rsidRPr="00000B80">
        <w:rPr>
          <w:sz w:val="28"/>
          <w:szCs w:val="28"/>
          <w:lang w:val="ro-RO"/>
        </w:rPr>
        <w:t>asigurarea disponibilității categoriilor de achiziții centralizate pentru utilizatori</w:t>
      </w:r>
      <w:r w:rsidR="003962B9" w:rsidRPr="00000B80">
        <w:rPr>
          <w:sz w:val="28"/>
          <w:szCs w:val="28"/>
          <w:lang w:val="ro-RO"/>
        </w:rPr>
        <w:t xml:space="preserve">, ce vor fi atinse prin </w:t>
      </w:r>
      <w:r w:rsidR="00391E24" w:rsidRPr="00000B80">
        <w:rPr>
          <w:sz w:val="28"/>
          <w:szCs w:val="28"/>
          <w:lang w:val="ro-RO"/>
        </w:rPr>
        <w:t xml:space="preserve">deșfășurarea </w:t>
      </w:r>
      <w:r w:rsidR="009B3995" w:rsidRPr="00000B80">
        <w:rPr>
          <w:sz w:val="28"/>
          <w:szCs w:val="28"/>
          <w:lang w:val="ro-RO"/>
        </w:rPr>
        <w:t xml:space="preserve">următoarelor atribuții </w:t>
      </w:r>
      <w:r w:rsidR="003962B9" w:rsidRPr="00000B80">
        <w:rPr>
          <w:sz w:val="28"/>
          <w:szCs w:val="28"/>
          <w:lang w:val="ro-RO"/>
        </w:rPr>
        <w:t>principale:</w:t>
      </w:r>
    </w:p>
    <w:p w14:paraId="1FD0EE37" w14:textId="6BECD4CF" w:rsidR="003962B9" w:rsidRPr="003962B9" w:rsidRDefault="003962B9" w:rsidP="003962B9">
      <w:pPr>
        <w:jc w:val="both"/>
        <w:rPr>
          <w:sz w:val="28"/>
          <w:szCs w:val="28"/>
          <w:lang w:val="ro-RO"/>
        </w:rPr>
      </w:pPr>
      <w:r w:rsidRPr="00000B80">
        <w:rPr>
          <w:sz w:val="28"/>
          <w:szCs w:val="28"/>
          <w:lang w:val="ro-RO"/>
        </w:rPr>
        <w:t>- colectarea</w:t>
      </w:r>
      <w:r w:rsidRPr="003962B9">
        <w:rPr>
          <w:sz w:val="28"/>
          <w:szCs w:val="28"/>
          <w:lang w:val="ro-RO"/>
        </w:rPr>
        <w:t xml:space="preserve"> necesităților utilizatorilor în legătură cu categoriile de achiziții centralizate;</w:t>
      </w:r>
    </w:p>
    <w:p w14:paraId="2D4F722C" w14:textId="356A590A" w:rsidR="003962B9" w:rsidRPr="003962B9" w:rsidRDefault="003962B9" w:rsidP="003962B9">
      <w:pPr>
        <w:jc w:val="both"/>
        <w:rPr>
          <w:sz w:val="28"/>
          <w:szCs w:val="28"/>
          <w:lang w:val="ro-RO"/>
        </w:rPr>
      </w:pPr>
      <w:r>
        <w:rPr>
          <w:sz w:val="28"/>
          <w:szCs w:val="28"/>
          <w:lang w:val="ro-RO"/>
        </w:rPr>
        <w:t xml:space="preserve">- </w:t>
      </w:r>
      <w:r w:rsidRPr="003962B9">
        <w:rPr>
          <w:sz w:val="28"/>
          <w:szCs w:val="28"/>
          <w:lang w:val="ro-RO"/>
        </w:rPr>
        <w:t>stabilirea programului anual al achizițiilor publice al UCA pentru categoriile de achiziții centralizate;</w:t>
      </w:r>
    </w:p>
    <w:p w14:paraId="5BDBD2AE" w14:textId="7B6A1C7F" w:rsidR="003962B9" w:rsidRPr="003962B9" w:rsidRDefault="003962B9" w:rsidP="003962B9">
      <w:pPr>
        <w:jc w:val="both"/>
        <w:rPr>
          <w:sz w:val="28"/>
          <w:szCs w:val="28"/>
          <w:lang w:val="ro-RO"/>
        </w:rPr>
      </w:pPr>
      <w:r>
        <w:rPr>
          <w:sz w:val="28"/>
          <w:szCs w:val="28"/>
          <w:lang w:val="ro-RO"/>
        </w:rPr>
        <w:t xml:space="preserve">- </w:t>
      </w:r>
      <w:r w:rsidRPr="003962B9">
        <w:rPr>
          <w:sz w:val="28"/>
          <w:szCs w:val="28"/>
          <w:lang w:val="ro-RO"/>
        </w:rPr>
        <w:t>organizarea procedurilor de atribuire centralizate și încheierea acordurilor-cadru centralizate, precum și atribuirea de contracte subsecvente;</w:t>
      </w:r>
    </w:p>
    <w:p w14:paraId="1B2E4F1B" w14:textId="05E3BB7B" w:rsidR="003962B9" w:rsidRPr="003962B9" w:rsidRDefault="003962B9" w:rsidP="003962B9">
      <w:pPr>
        <w:jc w:val="both"/>
        <w:rPr>
          <w:sz w:val="28"/>
          <w:szCs w:val="28"/>
          <w:lang w:val="ro-RO"/>
        </w:rPr>
      </w:pPr>
      <w:r>
        <w:rPr>
          <w:sz w:val="28"/>
          <w:szCs w:val="28"/>
          <w:lang w:val="ro-RO"/>
        </w:rPr>
        <w:t xml:space="preserve">- </w:t>
      </w:r>
      <w:r w:rsidRPr="003962B9">
        <w:rPr>
          <w:sz w:val="28"/>
          <w:szCs w:val="28"/>
          <w:lang w:val="ro-RO"/>
        </w:rPr>
        <w:t>punerea la dispoziția utilizatorilor a acordurilor-cadru centralizate;</w:t>
      </w:r>
    </w:p>
    <w:p w14:paraId="5A9D75E1" w14:textId="7796773A" w:rsidR="003962B9" w:rsidRPr="003962B9" w:rsidRDefault="003962B9" w:rsidP="003962B9">
      <w:pPr>
        <w:jc w:val="both"/>
        <w:rPr>
          <w:sz w:val="28"/>
          <w:szCs w:val="28"/>
          <w:lang w:val="ro-RO"/>
        </w:rPr>
      </w:pPr>
      <w:r>
        <w:rPr>
          <w:sz w:val="28"/>
          <w:szCs w:val="28"/>
          <w:lang w:val="ro-RO"/>
        </w:rPr>
        <w:t xml:space="preserve">- </w:t>
      </w:r>
      <w:r w:rsidRPr="003962B9">
        <w:rPr>
          <w:sz w:val="28"/>
          <w:szCs w:val="28"/>
          <w:lang w:val="ro-RO"/>
        </w:rPr>
        <w:t>monitorizarea acordurilor-cadru centralizate/contractelor;</w:t>
      </w:r>
    </w:p>
    <w:p w14:paraId="65C025FB" w14:textId="606AAD4E" w:rsidR="003962B9" w:rsidRPr="003962B9" w:rsidRDefault="003962B9" w:rsidP="003962B9">
      <w:pPr>
        <w:jc w:val="both"/>
        <w:rPr>
          <w:sz w:val="28"/>
          <w:szCs w:val="28"/>
          <w:lang w:val="ro-RO"/>
        </w:rPr>
      </w:pPr>
      <w:r>
        <w:rPr>
          <w:sz w:val="28"/>
          <w:szCs w:val="28"/>
          <w:lang w:val="ro-RO"/>
        </w:rPr>
        <w:t xml:space="preserve">- </w:t>
      </w:r>
      <w:r w:rsidRPr="003962B9">
        <w:rPr>
          <w:sz w:val="28"/>
          <w:szCs w:val="28"/>
          <w:lang w:val="ro-RO"/>
        </w:rPr>
        <w:t>participarea, în calitate de parte în cadrul procedurilor administrativ-jurisdicționale sau în fața instanțelor de judecată, în legătură cu actele emise în exercitarea atribuțiilor sale;</w:t>
      </w:r>
    </w:p>
    <w:p w14:paraId="763F3FA3" w14:textId="21D759CF" w:rsidR="008D2E05" w:rsidRDefault="003962B9" w:rsidP="003962B9">
      <w:pPr>
        <w:jc w:val="both"/>
        <w:rPr>
          <w:sz w:val="28"/>
          <w:szCs w:val="28"/>
          <w:lang w:val="ro-RO"/>
        </w:rPr>
      </w:pPr>
      <w:r>
        <w:rPr>
          <w:sz w:val="28"/>
          <w:szCs w:val="28"/>
          <w:lang w:val="ro-RO"/>
        </w:rPr>
        <w:t xml:space="preserve">- </w:t>
      </w:r>
      <w:r w:rsidRPr="003962B9">
        <w:rPr>
          <w:sz w:val="28"/>
          <w:szCs w:val="28"/>
          <w:lang w:val="ro-RO"/>
        </w:rPr>
        <w:t>furnizarea de activități de achiziție auxiliare.</w:t>
      </w:r>
    </w:p>
    <w:p w14:paraId="233CFDA2" w14:textId="6C296221" w:rsidR="00761D83" w:rsidRPr="00761D83" w:rsidRDefault="00000B80" w:rsidP="00761D83">
      <w:pPr>
        <w:jc w:val="both"/>
        <w:rPr>
          <w:sz w:val="28"/>
          <w:szCs w:val="28"/>
          <w:lang w:val="ro-RO"/>
        </w:rPr>
      </w:pPr>
      <w:r>
        <w:rPr>
          <w:sz w:val="28"/>
          <w:szCs w:val="28"/>
          <w:lang w:val="ro-RO"/>
        </w:rPr>
        <w:t xml:space="preserve">Totodată, precizăm că </w:t>
      </w:r>
      <w:r w:rsidR="00761D83" w:rsidRPr="00761D83">
        <w:rPr>
          <w:sz w:val="28"/>
          <w:szCs w:val="28"/>
          <w:lang w:val="ro-RO"/>
        </w:rPr>
        <w:t>principali</w:t>
      </w:r>
      <w:r w:rsidR="00761D83">
        <w:rPr>
          <w:sz w:val="28"/>
          <w:szCs w:val="28"/>
          <w:lang w:val="ro-RO"/>
        </w:rPr>
        <w:t>i</w:t>
      </w:r>
      <w:r w:rsidR="00761D83" w:rsidRPr="00761D83">
        <w:rPr>
          <w:sz w:val="28"/>
          <w:szCs w:val="28"/>
          <w:lang w:val="ro-RO"/>
        </w:rPr>
        <w:t xml:space="preserve"> utilizatori ai UCA</w:t>
      </w:r>
      <w:r w:rsidR="00761D83">
        <w:rPr>
          <w:sz w:val="28"/>
          <w:szCs w:val="28"/>
          <w:lang w:val="ro-RO"/>
        </w:rPr>
        <w:t xml:space="preserve"> sunt</w:t>
      </w:r>
      <w:r w:rsidR="00761D83" w:rsidRPr="00761D83">
        <w:rPr>
          <w:sz w:val="28"/>
          <w:szCs w:val="28"/>
          <w:lang w:val="ro-RO"/>
        </w:rPr>
        <w:t>:</w:t>
      </w:r>
    </w:p>
    <w:p w14:paraId="75DAFCE0" w14:textId="77777777" w:rsidR="00761D83" w:rsidRPr="00761D83" w:rsidRDefault="00761D83" w:rsidP="00761D83">
      <w:pPr>
        <w:jc w:val="both"/>
        <w:rPr>
          <w:sz w:val="28"/>
          <w:szCs w:val="28"/>
          <w:lang w:val="ro-RO"/>
        </w:rPr>
      </w:pPr>
      <w:r w:rsidRPr="00761D83">
        <w:rPr>
          <w:sz w:val="28"/>
          <w:szCs w:val="28"/>
          <w:lang w:val="ro-RO"/>
        </w:rPr>
        <w:t>– Centrul judetean de resurse si asistenta educationala</w:t>
      </w:r>
    </w:p>
    <w:p w14:paraId="6D241316" w14:textId="77777777" w:rsidR="00761D83" w:rsidRPr="00761D83" w:rsidRDefault="00761D83" w:rsidP="00761D83">
      <w:pPr>
        <w:jc w:val="both"/>
        <w:rPr>
          <w:sz w:val="28"/>
          <w:szCs w:val="28"/>
          <w:lang w:val="ro-RO"/>
        </w:rPr>
      </w:pPr>
      <w:r w:rsidRPr="00761D83">
        <w:rPr>
          <w:sz w:val="28"/>
          <w:szCs w:val="28"/>
          <w:lang w:val="ro-RO"/>
        </w:rPr>
        <w:t>– Centrul scolar pentru educatie incluziva Mihalceni</w:t>
      </w:r>
    </w:p>
    <w:p w14:paraId="1BFD1A9F" w14:textId="77777777" w:rsidR="00761D83" w:rsidRPr="00761D83" w:rsidRDefault="00761D83" w:rsidP="00761D83">
      <w:pPr>
        <w:jc w:val="both"/>
        <w:rPr>
          <w:sz w:val="28"/>
          <w:szCs w:val="28"/>
          <w:lang w:val="ro-RO"/>
        </w:rPr>
      </w:pPr>
      <w:r w:rsidRPr="00761D83">
        <w:rPr>
          <w:sz w:val="28"/>
          <w:szCs w:val="28"/>
          <w:lang w:val="ro-RO"/>
        </w:rPr>
        <w:t>– Centrul scolar pentru educatie incluziva Maicanesti</w:t>
      </w:r>
    </w:p>
    <w:p w14:paraId="57F30154" w14:textId="77777777" w:rsidR="00761D83" w:rsidRPr="00761D83" w:rsidRDefault="00761D83" w:rsidP="00761D83">
      <w:pPr>
        <w:jc w:val="both"/>
        <w:rPr>
          <w:sz w:val="28"/>
          <w:szCs w:val="28"/>
          <w:lang w:val="ro-RO"/>
        </w:rPr>
      </w:pPr>
      <w:r w:rsidRPr="00761D83">
        <w:rPr>
          <w:sz w:val="28"/>
          <w:szCs w:val="28"/>
          <w:lang w:val="ro-RO"/>
        </w:rPr>
        <w:t>– Centrul scolar pentru educatie incluziva „Elena Doamna” Focsani</w:t>
      </w:r>
    </w:p>
    <w:p w14:paraId="2086DCDE" w14:textId="77777777" w:rsidR="00761D83" w:rsidRPr="00761D83" w:rsidRDefault="00761D83" w:rsidP="00761D83">
      <w:pPr>
        <w:jc w:val="both"/>
        <w:rPr>
          <w:sz w:val="28"/>
          <w:szCs w:val="28"/>
          <w:lang w:val="ro-RO"/>
        </w:rPr>
      </w:pPr>
      <w:r w:rsidRPr="00761D83">
        <w:rPr>
          <w:sz w:val="28"/>
          <w:szCs w:val="28"/>
          <w:lang w:val="ro-RO"/>
        </w:rPr>
        <w:t>– Serviciul Public Județean Salvamont Vrancea</w:t>
      </w:r>
    </w:p>
    <w:p w14:paraId="70D3F2F5" w14:textId="77777777" w:rsidR="00761D83" w:rsidRPr="00761D83" w:rsidRDefault="00761D83" w:rsidP="00761D83">
      <w:pPr>
        <w:jc w:val="both"/>
        <w:rPr>
          <w:sz w:val="28"/>
          <w:szCs w:val="28"/>
          <w:lang w:val="ro-RO"/>
        </w:rPr>
      </w:pPr>
      <w:r w:rsidRPr="00761D83">
        <w:rPr>
          <w:sz w:val="28"/>
          <w:szCs w:val="28"/>
          <w:lang w:val="ro-RO"/>
        </w:rPr>
        <w:t>– Centrul cultural Vrancea</w:t>
      </w:r>
    </w:p>
    <w:p w14:paraId="0E1C97B2" w14:textId="77777777" w:rsidR="00761D83" w:rsidRPr="00761D83" w:rsidRDefault="00761D83" w:rsidP="00761D83">
      <w:pPr>
        <w:jc w:val="both"/>
        <w:rPr>
          <w:sz w:val="28"/>
          <w:szCs w:val="28"/>
          <w:lang w:val="ro-RO"/>
        </w:rPr>
      </w:pPr>
      <w:r w:rsidRPr="00761D83">
        <w:rPr>
          <w:sz w:val="28"/>
          <w:szCs w:val="28"/>
          <w:lang w:val="ro-RO"/>
        </w:rPr>
        <w:t>– Serviciul public comunitar judetean de evidenta a persoanelor Vrancea</w:t>
      </w:r>
    </w:p>
    <w:p w14:paraId="79F43059" w14:textId="77777777" w:rsidR="00761D83" w:rsidRPr="00761D83" w:rsidRDefault="00761D83" w:rsidP="00761D83">
      <w:pPr>
        <w:jc w:val="both"/>
        <w:rPr>
          <w:sz w:val="28"/>
          <w:szCs w:val="28"/>
          <w:lang w:val="ro-RO"/>
        </w:rPr>
      </w:pPr>
      <w:r w:rsidRPr="00761D83">
        <w:rPr>
          <w:sz w:val="28"/>
          <w:szCs w:val="28"/>
          <w:lang w:val="ro-RO"/>
        </w:rPr>
        <w:t>– Muzeul Vrancei</w:t>
      </w:r>
    </w:p>
    <w:p w14:paraId="27EFB860" w14:textId="77777777" w:rsidR="00761D83" w:rsidRPr="00761D83" w:rsidRDefault="00761D83" w:rsidP="00761D83">
      <w:pPr>
        <w:jc w:val="both"/>
        <w:rPr>
          <w:sz w:val="28"/>
          <w:szCs w:val="28"/>
          <w:lang w:val="ro-RO"/>
        </w:rPr>
      </w:pPr>
      <w:r w:rsidRPr="00761D83">
        <w:rPr>
          <w:sz w:val="28"/>
          <w:szCs w:val="28"/>
          <w:lang w:val="ro-RO"/>
        </w:rPr>
        <w:t>– Biblioteca judeteana „Duiliu Zamfirescu” Vrancea</w:t>
      </w:r>
    </w:p>
    <w:p w14:paraId="32810009" w14:textId="77777777" w:rsidR="00761D83" w:rsidRPr="00761D83" w:rsidRDefault="00761D83" w:rsidP="00761D83">
      <w:pPr>
        <w:jc w:val="both"/>
        <w:rPr>
          <w:sz w:val="28"/>
          <w:szCs w:val="28"/>
          <w:lang w:val="ro-RO"/>
        </w:rPr>
      </w:pPr>
      <w:r w:rsidRPr="00761D83">
        <w:rPr>
          <w:sz w:val="28"/>
          <w:szCs w:val="28"/>
          <w:lang w:val="ro-RO"/>
        </w:rPr>
        <w:t>– Directia generala de asistenta sociala si protectia copilului Vrancea</w:t>
      </w:r>
    </w:p>
    <w:p w14:paraId="19EB25D9" w14:textId="77777777" w:rsidR="00761D83" w:rsidRPr="00761D83" w:rsidRDefault="00761D83" w:rsidP="00761D83">
      <w:pPr>
        <w:jc w:val="both"/>
        <w:rPr>
          <w:sz w:val="28"/>
          <w:szCs w:val="28"/>
          <w:lang w:val="ro-RO"/>
        </w:rPr>
      </w:pPr>
      <w:r w:rsidRPr="00761D83">
        <w:rPr>
          <w:sz w:val="28"/>
          <w:szCs w:val="28"/>
          <w:lang w:val="ro-RO"/>
        </w:rPr>
        <w:t>imagine de fundal</w:t>
      </w:r>
    </w:p>
    <w:p w14:paraId="6D27116C" w14:textId="5968C0F3" w:rsidR="00DD08DF" w:rsidRDefault="00761D83" w:rsidP="00761D83">
      <w:pPr>
        <w:jc w:val="both"/>
        <w:rPr>
          <w:sz w:val="28"/>
          <w:szCs w:val="28"/>
          <w:lang w:val="ro-RO"/>
        </w:rPr>
      </w:pPr>
      <w:r w:rsidRPr="00761D83">
        <w:rPr>
          <w:sz w:val="28"/>
          <w:szCs w:val="28"/>
          <w:lang w:val="ro-RO"/>
        </w:rPr>
        <w:t xml:space="preserve"> – S.C. Parc Industrial Vrancea S.R.L.</w:t>
      </w:r>
      <w:r w:rsidR="00E85E6A">
        <w:rPr>
          <w:sz w:val="28"/>
          <w:szCs w:val="28"/>
          <w:lang w:val="ro-RO"/>
        </w:rPr>
        <w:t xml:space="preserve">, UCA putând </w:t>
      </w:r>
      <w:r w:rsidR="00E85E6A" w:rsidRPr="00E85E6A">
        <w:rPr>
          <w:sz w:val="28"/>
          <w:szCs w:val="28"/>
          <w:lang w:val="ro-RO"/>
        </w:rPr>
        <w:t>prest</w:t>
      </w:r>
      <w:r w:rsidR="00E85E6A">
        <w:rPr>
          <w:sz w:val="28"/>
          <w:szCs w:val="28"/>
          <w:lang w:val="ro-RO"/>
        </w:rPr>
        <w:t>a</w:t>
      </w:r>
      <w:r w:rsidR="00E85E6A" w:rsidRPr="00E85E6A">
        <w:rPr>
          <w:sz w:val="28"/>
          <w:szCs w:val="28"/>
          <w:lang w:val="ro-RO"/>
        </w:rPr>
        <w:t xml:space="preserve"> servicii de achiziții centralizate, precum și servicii de achiziții auxiliare și utilizatorilor secundari, în baza unor contracte încheiate în acest sens între UAT Județul Vrancea și utilizatorii secundari, în condițiile legii.</w:t>
      </w:r>
    </w:p>
    <w:p w14:paraId="22BF035F" w14:textId="77777777" w:rsidR="00E85E6A" w:rsidRPr="00185354" w:rsidRDefault="00E85E6A" w:rsidP="00761D83">
      <w:pPr>
        <w:jc w:val="both"/>
        <w:rPr>
          <w:sz w:val="28"/>
          <w:szCs w:val="28"/>
          <w:lang w:val="ro-RO"/>
        </w:rPr>
      </w:pPr>
    </w:p>
    <w:p w14:paraId="43F813BF" w14:textId="351A92EE" w:rsidR="009F66F0" w:rsidRDefault="009F66F0" w:rsidP="00816C8C">
      <w:pPr>
        <w:jc w:val="both"/>
        <w:rPr>
          <w:sz w:val="28"/>
          <w:szCs w:val="28"/>
          <w:lang w:val="ro-RO"/>
        </w:rPr>
      </w:pPr>
      <w:r w:rsidRPr="008B1913">
        <w:rPr>
          <w:sz w:val="28"/>
          <w:szCs w:val="28"/>
          <w:lang w:val="ro-RO"/>
        </w:rPr>
        <w:t xml:space="preserve">Având în vedere cele prezentate mai sus propunem spre aprobare </w:t>
      </w:r>
      <w:r w:rsidR="00816C8C" w:rsidRPr="00816C8C">
        <w:rPr>
          <w:sz w:val="28"/>
          <w:szCs w:val="28"/>
          <w:lang w:val="ro-RO"/>
        </w:rPr>
        <w:t>normel</w:t>
      </w:r>
      <w:r w:rsidR="00816C8C">
        <w:rPr>
          <w:sz w:val="28"/>
          <w:szCs w:val="28"/>
          <w:lang w:val="ro-RO"/>
        </w:rPr>
        <w:t>e</w:t>
      </w:r>
      <w:r w:rsidR="00816C8C" w:rsidRPr="00816C8C">
        <w:rPr>
          <w:sz w:val="28"/>
          <w:szCs w:val="28"/>
          <w:lang w:val="ro-RO"/>
        </w:rPr>
        <w:t xml:space="preserve"> specifice privind desfăşurarea activităţii Unității de Achiziții Centralizate</w:t>
      </w:r>
      <w:r w:rsidR="00816C8C">
        <w:rPr>
          <w:sz w:val="28"/>
          <w:szCs w:val="28"/>
          <w:lang w:val="ro-RO"/>
        </w:rPr>
        <w:t>.</w:t>
      </w:r>
    </w:p>
    <w:p w14:paraId="578389BB" w14:textId="439F0663" w:rsidR="00816C8C" w:rsidRDefault="00816C8C" w:rsidP="00816C8C">
      <w:pPr>
        <w:jc w:val="both"/>
        <w:rPr>
          <w:sz w:val="28"/>
          <w:szCs w:val="28"/>
          <w:lang w:val="ro-RO"/>
        </w:rPr>
      </w:pPr>
    </w:p>
    <w:p w14:paraId="46C4D171" w14:textId="07A3AEDA" w:rsidR="00C20EE3" w:rsidRDefault="00C20EE3" w:rsidP="00816C8C">
      <w:pPr>
        <w:jc w:val="both"/>
        <w:rPr>
          <w:sz w:val="28"/>
          <w:szCs w:val="28"/>
          <w:lang w:val="ro-RO"/>
        </w:rPr>
      </w:pPr>
    </w:p>
    <w:p w14:paraId="2D7789A8" w14:textId="77777777" w:rsidR="00C20EE3" w:rsidRDefault="00C20EE3" w:rsidP="00816C8C">
      <w:pPr>
        <w:jc w:val="both"/>
        <w:rPr>
          <w:sz w:val="28"/>
          <w:szCs w:val="28"/>
          <w:lang w:val="ro-RO"/>
        </w:rPr>
      </w:pPr>
    </w:p>
    <w:p w14:paraId="6B29F9D2" w14:textId="4461D5D0" w:rsidR="00185354" w:rsidRDefault="00185354" w:rsidP="00F334D4">
      <w:pPr>
        <w:ind w:firstLine="708"/>
        <w:jc w:val="both"/>
        <w:rPr>
          <w:sz w:val="28"/>
          <w:szCs w:val="28"/>
          <w:lang w:val="ro-RO"/>
        </w:rPr>
      </w:pPr>
    </w:p>
    <w:tbl>
      <w:tblPr>
        <w:tblW w:w="0" w:type="auto"/>
        <w:tblLook w:val="04A0" w:firstRow="1" w:lastRow="0" w:firstColumn="1" w:lastColumn="0" w:noHBand="0" w:noVBand="1"/>
      </w:tblPr>
      <w:tblGrid>
        <w:gridCol w:w="4644"/>
      </w:tblGrid>
      <w:tr w:rsidR="00C20EE3" w14:paraId="6107A813" w14:textId="77777777">
        <w:tc>
          <w:tcPr>
            <w:tcW w:w="4644" w:type="dxa"/>
            <w:shd w:val="clear" w:color="auto" w:fill="auto"/>
          </w:tcPr>
          <w:p w14:paraId="0BCE610E" w14:textId="77777777" w:rsidR="00C20EE3" w:rsidRDefault="00C20EE3">
            <w:pPr>
              <w:jc w:val="center"/>
              <w:rPr>
                <w:rFonts w:eastAsia="Calibri" w:cs="Mangal"/>
                <w:sz w:val="28"/>
                <w:szCs w:val="28"/>
                <w:lang w:val="ro-RO"/>
              </w:rPr>
            </w:pPr>
            <w:r>
              <w:rPr>
                <w:rFonts w:eastAsia="Calibri"/>
                <w:sz w:val="28"/>
                <w:szCs w:val="28"/>
                <w:lang w:val="ro-RO"/>
              </w:rPr>
              <w:t>Șef serviciu</w:t>
            </w:r>
            <w:r>
              <w:rPr>
                <w:rFonts w:eastAsia="Calibri" w:cs="Mangal"/>
                <w:sz w:val="28"/>
                <w:szCs w:val="28"/>
                <w:lang w:val="ro-RO"/>
              </w:rPr>
              <w:t>,</w:t>
            </w:r>
          </w:p>
          <w:p w14:paraId="66C04C04" w14:textId="77777777" w:rsidR="00C20EE3" w:rsidRDefault="00C20EE3">
            <w:pPr>
              <w:jc w:val="center"/>
              <w:rPr>
                <w:rFonts w:eastAsia="Calibri" w:cs="Mangal"/>
                <w:sz w:val="28"/>
                <w:szCs w:val="28"/>
                <w:lang w:val="ro-RO"/>
              </w:rPr>
            </w:pPr>
            <w:r>
              <w:rPr>
                <w:rFonts w:eastAsia="Calibri" w:cs="Mangal"/>
                <w:sz w:val="28"/>
                <w:szCs w:val="28"/>
                <w:lang w:val="ro-RO"/>
              </w:rPr>
              <w:t>Serviciul Achiziții Publice</w:t>
            </w:r>
          </w:p>
          <w:p w14:paraId="1265E004" w14:textId="77777777" w:rsidR="00C20EE3" w:rsidRDefault="00C20EE3">
            <w:pPr>
              <w:jc w:val="center"/>
              <w:rPr>
                <w:rFonts w:cs="Mangal"/>
                <w:sz w:val="28"/>
                <w:szCs w:val="28"/>
                <w:lang w:val="ro-RO"/>
              </w:rPr>
            </w:pPr>
            <w:r>
              <w:rPr>
                <w:rFonts w:cs="Mangal"/>
                <w:sz w:val="28"/>
                <w:szCs w:val="28"/>
                <w:lang w:val="ro-RO"/>
              </w:rPr>
              <w:t>Hărăbor Valentina</w:t>
            </w:r>
          </w:p>
          <w:p w14:paraId="2F092AE3" w14:textId="77777777" w:rsidR="00C20EE3" w:rsidRDefault="00C20EE3">
            <w:pPr>
              <w:jc w:val="center"/>
              <w:rPr>
                <w:rFonts w:cs="Mangal"/>
                <w:sz w:val="28"/>
                <w:szCs w:val="28"/>
                <w:lang w:val="ro-RO"/>
              </w:rPr>
            </w:pPr>
          </w:p>
          <w:p w14:paraId="75C61ED8" w14:textId="77777777" w:rsidR="00C20EE3" w:rsidRDefault="00C20EE3">
            <w:pPr>
              <w:jc w:val="center"/>
              <w:rPr>
                <w:rFonts w:cs="Mangal"/>
                <w:sz w:val="28"/>
                <w:szCs w:val="28"/>
                <w:lang w:val="ro-RO"/>
              </w:rPr>
            </w:pPr>
          </w:p>
          <w:p w14:paraId="54F5F00E" w14:textId="77777777" w:rsidR="00C20EE3" w:rsidRDefault="00C20EE3">
            <w:pPr>
              <w:jc w:val="center"/>
              <w:rPr>
                <w:rFonts w:cs="Mangal"/>
                <w:sz w:val="28"/>
                <w:szCs w:val="28"/>
                <w:lang w:val="ro-RO"/>
              </w:rPr>
            </w:pPr>
          </w:p>
          <w:p w14:paraId="796736D2" w14:textId="4C9A427F" w:rsidR="00C20EE3" w:rsidRDefault="00C20EE3">
            <w:pPr>
              <w:jc w:val="center"/>
              <w:rPr>
                <w:rFonts w:cs="Mangal"/>
                <w:sz w:val="28"/>
                <w:szCs w:val="28"/>
                <w:lang w:val="ro-RO"/>
              </w:rPr>
            </w:pPr>
          </w:p>
        </w:tc>
      </w:tr>
      <w:tr w:rsidR="00C20EE3" w14:paraId="2F1F2411" w14:textId="77777777">
        <w:tc>
          <w:tcPr>
            <w:tcW w:w="4644" w:type="dxa"/>
            <w:shd w:val="clear" w:color="auto" w:fill="auto"/>
          </w:tcPr>
          <w:p w14:paraId="77D76353" w14:textId="77777777" w:rsidR="00C20EE3" w:rsidRDefault="00C20EE3">
            <w:pPr>
              <w:jc w:val="center"/>
              <w:rPr>
                <w:rFonts w:cs="Mangal"/>
                <w:sz w:val="28"/>
                <w:szCs w:val="28"/>
                <w:lang w:val="ro-RO"/>
              </w:rPr>
            </w:pPr>
            <w:r>
              <w:rPr>
                <w:rFonts w:cs="Mangal"/>
                <w:sz w:val="28"/>
                <w:szCs w:val="28"/>
                <w:lang w:val="ro-RO"/>
              </w:rPr>
              <w:t>Întocmit,</w:t>
            </w:r>
          </w:p>
          <w:p w14:paraId="33347F7E" w14:textId="4C4068BE" w:rsidR="00C20EE3" w:rsidRDefault="00C20EE3">
            <w:pPr>
              <w:jc w:val="center"/>
              <w:rPr>
                <w:rFonts w:cs="Mangal"/>
                <w:sz w:val="28"/>
                <w:szCs w:val="28"/>
                <w:lang w:val="ro-RO"/>
              </w:rPr>
            </w:pPr>
            <w:r>
              <w:rPr>
                <w:rFonts w:eastAsia="Calibri"/>
                <w:sz w:val="28"/>
                <w:szCs w:val="28"/>
                <w:lang w:val="ro-RO"/>
              </w:rPr>
              <w:t>Consilier achiziții publice</w:t>
            </w:r>
          </w:p>
          <w:p w14:paraId="7DC7D8EF" w14:textId="26CF072F" w:rsidR="00C20EE3" w:rsidRDefault="00C20EE3">
            <w:pPr>
              <w:jc w:val="center"/>
              <w:rPr>
                <w:rFonts w:cs="Mangal"/>
                <w:sz w:val="28"/>
                <w:szCs w:val="28"/>
                <w:lang w:val="ro-RO"/>
              </w:rPr>
            </w:pPr>
            <w:r>
              <w:rPr>
                <w:rFonts w:eastAsia="Calibri" w:cs="Mangal"/>
                <w:sz w:val="28"/>
                <w:szCs w:val="28"/>
                <w:lang w:val="ro-RO"/>
              </w:rPr>
              <w:t>Anghel Ancuța</w:t>
            </w:r>
          </w:p>
        </w:tc>
      </w:tr>
    </w:tbl>
    <w:p w14:paraId="78547562" w14:textId="77777777" w:rsidR="00185354" w:rsidRPr="008B1913" w:rsidRDefault="00185354" w:rsidP="00F334D4">
      <w:pPr>
        <w:ind w:firstLine="708"/>
        <w:jc w:val="both"/>
        <w:rPr>
          <w:sz w:val="28"/>
          <w:szCs w:val="28"/>
          <w:lang w:val="ro-RO"/>
        </w:rPr>
      </w:pPr>
    </w:p>
    <w:p w14:paraId="30A78489" w14:textId="77777777" w:rsidR="00185354" w:rsidRDefault="00185354" w:rsidP="006B10B7">
      <w:pPr>
        <w:ind w:firstLine="708"/>
        <w:rPr>
          <w:rFonts w:eastAsia="Calibri"/>
          <w:sz w:val="28"/>
          <w:szCs w:val="28"/>
          <w:lang w:val="ro-RO"/>
        </w:rPr>
      </w:pPr>
      <w:r>
        <w:rPr>
          <w:rFonts w:eastAsia="Calibri"/>
          <w:sz w:val="28"/>
          <w:szCs w:val="28"/>
          <w:lang w:val="ro-RO"/>
        </w:rPr>
        <w:t xml:space="preserve">         </w:t>
      </w:r>
    </w:p>
    <w:p w14:paraId="441B7092" w14:textId="77777777" w:rsidR="00185354" w:rsidRDefault="00185354" w:rsidP="006B10B7">
      <w:pPr>
        <w:ind w:firstLine="708"/>
        <w:rPr>
          <w:rFonts w:eastAsia="Calibri"/>
          <w:sz w:val="28"/>
          <w:szCs w:val="28"/>
          <w:lang w:val="ro-RO"/>
        </w:rPr>
      </w:pPr>
    </w:p>
    <w:p w14:paraId="1F1A5CA2" w14:textId="33E451C4" w:rsidR="006B10B7" w:rsidRPr="008B1913" w:rsidRDefault="006B10B7" w:rsidP="006B10B7">
      <w:pPr>
        <w:ind w:firstLine="708"/>
        <w:rPr>
          <w:rFonts w:eastAsia="Calibri"/>
          <w:sz w:val="28"/>
          <w:szCs w:val="28"/>
          <w:lang w:val="ro-RO"/>
        </w:rPr>
      </w:pPr>
      <w:r w:rsidRPr="008B1913">
        <w:rPr>
          <w:rFonts w:eastAsia="Calibri"/>
          <w:sz w:val="28"/>
          <w:szCs w:val="28"/>
          <w:lang w:val="ro-RO"/>
        </w:rPr>
        <w:t xml:space="preserve">                                                        </w:t>
      </w:r>
    </w:p>
    <w:sectPr w:rsidR="006B10B7" w:rsidRPr="008B1913" w:rsidSect="00C20EE3">
      <w:footerReference w:type="default" r:id="rId7"/>
      <w:pgSz w:w="11906" w:h="16838"/>
      <w:pgMar w:top="1417" w:right="991" w:bottom="993" w:left="1417" w:header="708" w:footer="1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3EBB44" w14:textId="77777777" w:rsidR="00135F96" w:rsidRDefault="00135F96" w:rsidP="00C20EE3">
      <w:r>
        <w:separator/>
      </w:r>
    </w:p>
  </w:endnote>
  <w:endnote w:type="continuationSeparator" w:id="0">
    <w:p w14:paraId="12026398" w14:textId="77777777" w:rsidR="00135F96" w:rsidRDefault="00135F96" w:rsidP="00C20E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Nirmala UI"/>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7419F" w14:textId="77777777" w:rsidR="00C20EE3" w:rsidRPr="00C20EE3" w:rsidRDefault="00C20EE3">
    <w:pPr>
      <w:pStyle w:val="Subsol"/>
      <w:jc w:val="center"/>
      <w:rPr>
        <w:sz w:val="22"/>
        <w:szCs w:val="22"/>
      </w:rPr>
    </w:pPr>
    <w:r w:rsidRPr="00C20EE3">
      <w:rPr>
        <w:sz w:val="22"/>
        <w:szCs w:val="22"/>
      </w:rPr>
      <w:fldChar w:fldCharType="begin"/>
    </w:r>
    <w:r w:rsidRPr="00C20EE3">
      <w:rPr>
        <w:sz w:val="22"/>
        <w:szCs w:val="22"/>
      </w:rPr>
      <w:instrText xml:space="preserve"> PAGE   \* MERGEFORMAT </w:instrText>
    </w:r>
    <w:r w:rsidRPr="00C20EE3">
      <w:rPr>
        <w:sz w:val="22"/>
        <w:szCs w:val="22"/>
      </w:rPr>
      <w:fldChar w:fldCharType="separate"/>
    </w:r>
    <w:r w:rsidRPr="00C20EE3">
      <w:rPr>
        <w:noProof/>
        <w:sz w:val="22"/>
        <w:szCs w:val="22"/>
      </w:rPr>
      <w:t>2</w:t>
    </w:r>
    <w:r w:rsidRPr="00C20EE3">
      <w:rPr>
        <w:noProof/>
        <w:sz w:val="22"/>
        <w:szCs w:val="22"/>
      </w:rPr>
      <w:fldChar w:fldCharType="end"/>
    </w:r>
  </w:p>
  <w:p w14:paraId="4EC93988" w14:textId="77777777" w:rsidR="00C20EE3" w:rsidRDefault="00C20EE3">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2D3921" w14:textId="77777777" w:rsidR="00135F96" w:rsidRDefault="00135F96" w:rsidP="00C20EE3">
      <w:r>
        <w:separator/>
      </w:r>
    </w:p>
  </w:footnote>
  <w:footnote w:type="continuationSeparator" w:id="0">
    <w:p w14:paraId="2739C3C0" w14:textId="77777777" w:rsidR="00135F96" w:rsidRDefault="00135F96" w:rsidP="00C20E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951696"/>
    <w:multiLevelType w:val="hybridMultilevel"/>
    <w:tmpl w:val="639823A2"/>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5C1715CD"/>
    <w:multiLevelType w:val="hybridMultilevel"/>
    <w:tmpl w:val="21E0F08A"/>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77EA27D3"/>
    <w:multiLevelType w:val="hybridMultilevel"/>
    <w:tmpl w:val="02DE6056"/>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16cid:durableId="1897084354">
    <w:abstractNumId w:val="2"/>
  </w:num>
  <w:num w:numId="2" w16cid:durableId="375081024">
    <w:abstractNumId w:val="1"/>
  </w:num>
  <w:num w:numId="3" w16cid:durableId="20415874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CAC"/>
    <w:rsid w:val="00000B80"/>
    <w:rsid w:val="000266A9"/>
    <w:rsid w:val="00037F90"/>
    <w:rsid w:val="000C5F0B"/>
    <w:rsid w:val="000D3234"/>
    <w:rsid w:val="00135F96"/>
    <w:rsid w:val="0015782D"/>
    <w:rsid w:val="00160CAD"/>
    <w:rsid w:val="001628B2"/>
    <w:rsid w:val="00171812"/>
    <w:rsid w:val="00181082"/>
    <w:rsid w:val="00185354"/>
    <w:rsid w:val="00214812"/>
    <w:rsid w:val="00286143"/>
    <w:rsid w:val="002A518A"/>
    <w:rsid w:val="002C5740"/>
    <w:rsid w:val="0030326D"/>
    <w:rsid w:val="0033299D"/>
    <w:rsid w:val="00335273"/>
    <w:rsid w:val="0037149C"/>
    <w:rsid w:val="00391E24"/>
    <w:rsid w:val="003962B9"/>
    <w:rsid w:val="003B6CC9"/>
    <w:rsid w:val="003E46A5"/>
    <w:rsid w:val="004427DC"/>
    <w:rsid w:val="004479C8"/>
    <w:rsid w:val="00457B36"/>
    <w:rsid w:val="004B01BB"/>
    <w:rsid w:val="004B2092"/>
    <w:rsid w:val="004F0662"/>
    <w:rsid w:val="00516FDA"/>
    <w:rsid w:val="005555EE"/>
    <w:rsid w:val="006B10B7"/>
    <w:rsid w:val="00720769"/>
    <w:rsid w:val="00747E6F"/>
    <w:rsid w:val="00761D83"/>
    <w:rsid w:val="00816C8C"/>
    <w:rsid w:val="008309BC"/>
    <w:rsid w:val="00873F95"/>
    <w:rsid w:val="0088313A"/>
    <w:rsid w:val="008A1380"/>
    <w:rsid w:val="008B1913"/>
    <w:rsid w:val="008D2E05"/>
    <w:rsid w:val="008E0DBF"/>
    <w:rsid w:val="00910916"/>
    <w:rsid w:val="00924A9B"/>
    <w:rsid w:val="009522BB"/>
    <w:rsid w:val="00993C87"/>
    <w:rsid w:val="009B0569"/>
    <w:rsid w:val="009B3995"/>
    <w:rsid w:val="009C4130"/>
    <w:rsid w:val="009F66F0"/>
    <w:rsid w:val="00A30950"/>
    <w:rsid w:val="00A40F61"/>
    <w:rsid w:val="00AB05ED"/>
    <w:rsid w:val="00AC16FA"/>
    <w:rsid w:val="00AC7B64"/>
    <w:rsid w:val="00AE5728"/>
    <w:rsid w:val="00B00A16"/>
    <w:rsid w:val="00B36E99"/>
    <w:rsid w:val="00B55406"/>
    <w:rsid w:val="00B55EE0"/>
    <w:rsid w:val="00C1032D"/>
    <w:rsid w:val="00C20EE3"/>
    <w:rsid w:val="00C246EA"/>
    <w:rsid w:val="00C5225F"/>
    <w:rsid w:val="00C61D99"/>
    <w:rsid w:val="00CA4458"/>
    <w:rsid w:val="00CA526C"/>
    <w:rsid w:val="00CC174E"/>
    <w:rsid w:val="00CE3477"/>
    <w:rsid w:val="00CF1421"/>
    <w:rsid w:val="00CF6246"/>
    <w:rsid w:val="00D10644"/>
    <w:rsid w:val="00D13A8F"/>
    <w:rsid w:val="00D40CAC"/>
    <w:rsid w:val="00D50284"/>
    <w:rsid w:val="00DD08DF"/>
    <w:rsid w:val="00E85E6A"/>
    <w:rsid w:val="00ED4489"/>
    <w:rsid w:val="00F334D4"/>
    <w:rsid w:val="00F6599E"/>
    <w:rsid w:val="00F75639"/>
    <w:rsid w:val="00FC2973"/>
  </w:rsids>
  <m:mathPr>
    <m:mathFont m:val="Cambria Math"/>
    <m:brkBin m:val="before"/>
    <m:brkBinSub m:val="--"/>
    <m:smallFrac m:val="0"/>
    <m:dispDef/>
    <m:lMargin m:val="0"/>
    <m:rMargin m:val="0"/>
    <m:defJc m:val="centerGroup"/>
    <m:wrapIndent m:val="1440"/>
    <m:intLim m:val="subSup"/>
    <m:naryLim m:val="undOvr"/>
  </m:mathPr>
  <w:themeFontLang w:val="en-GB" w:bidi="mr-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5D62FF"/>
  <w15:docId w15:val="{AEC4BF41-0294-4459-8681-E20A0EFF5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mr-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0CAC"/>
    <w:rPr>
      <w:rFonts w:ascii="Times New Roman" w:eastAsia="Times New Roman" w:hAnsi="Times New Roman"/>
      <w:sz w:val="24"/>
      <w:szCs w:val="24"/>
      <w:lang w:val="hu-HU" w:eastAsia="en-US" w:bidi="ar-SA"/>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F334D4"/>
    <w:pPr>
      <w:ind w:left="720"/>
      <w:contextualSpacing/>
    </w:pPr>
  </w:style>
  <w:style w:type="table" w:styleId="Tabelgril">
    <w:name w:val="Table Grid"/>
    <w:basedOn w:val="TabelNormal"/>
    <w:uiPriority w:val="39"/>
    <w:rsid w:val="00335273"/>
    <w:rPr>
      <w:rFonts w:cs="Mangal"/>
      <w:sz w:val="22"/>
      <w:szCs w:val="22"/>
      <w:lang w:val="ro-RO"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et">
    <w:name w:val="header"/>
    <w:basedOn w:val="Normal"/>
    <w:link w:val="AntetCaracter"/>
    <w:uiPriority w:val="99"/>
    <w:unhideWhenUsed/>
    <w:rsid w:val="00C20EE3"/>
    <w:pPr>
      <w:tabs>
        <w:tab w:val="center" w:pos="4513"/>
        <w:tab w:val="right" w:pos="9026"/>
      </w:tabs>
    </w:pPr>
  </w:style>
  <w:style w:type="character" w:customStyle="1" w:styleId="AntetCaracter">
    <w:name w:val="Antet Caracter"/>
    <w:link w:val="Antet"/>
    <w:uiPriority w:val="99"/>
    <w:rsid w:val="00C20EE3"/>
    <w:rPr>
      <w:rFonts w:ascii="Times New Roman" w:eastAsia="Times New Roman" w:hAnsi="Times New Roman"/>
      <w:sz w:val="24"/>
      <w:szCs w:val="24"/>
      <w:lang w:val="hu-HU" w:eastAsia="en-US" w:bidi="ar-SA"/>
    </w:rPr>
  </w:style>
  <w:style w:type="paragraph" w:styleId="Subsol">
    <w:name w:val="footer"/>
    <w:basedOn w:val="Normal"/>
    <w:link w:val="SubsolCaracter"/>
    <w:uiPriority w:val="99"/>
    <w:unhideWhenUsed/>
    <w:rsid w:val="00C20EE3"/>
    <w:pPr>
      <w:tabs>
        <w:tab w:val="center" w:pos="4513"/>
        <w:tab w:val="right" w:pos="9026"/>
      </w:tabs>
    </w:pPr>
  </w:style>
  <w:style w:type="character" w:customStyle="1" w:styleId="SubsolCaracter">
    <w:name w:val="Subsol Caracter"/>
    <w:link w:val="Subsol"/>
    <w:uiPriority w:val="99"/>
    <w:rsid w:val="00C20EE3"/>
    <w:rPr>
      <w:rFonts w:ascii="Times New Roman" w:eastAsia="Times New Roman" w:hAnsi="Times New Roman"/>
      <w:sz w:val="24"/>
      <w:szCs w:val="24"/>
      <w:lang w:val="hu-HU"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0196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850</Words>
  <Characters>4847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CONSILIUL JUDETEAN HARGHITA</Company>
  <LinksUpToDate>false</LinksUpToDate>
  <CharactersWithSpaces>5686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Barabas Arpad</dc:creator>
  <cp:keywords/>
  <cp:lastModifiedBy>TULBURE MIHAELA</cp:lastModifiedBy>
  <cp:revision>3</cp:revision>
  <cp:lastPrinted>2020-10-12T06:02:00Z</cp:lastPrinted>
  <dcterms:created xsi:type="dcterms:W3CDTF">2023-01-04T10:16:00Z</dcterms:created>
  <dcterms:modified xsi:type="dcterms:W3CDTF">2023-01-04T13:40:00Z</dcterms:modified>
</cp:coreProperties>
</file>