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5DF09239" w14:textId="77777777" w:rsidR="001F6250" w:rsidRPr="001F6250" w:rsidRDefault="00E755E2" w:rsidP="001F625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rganizarea</w:t>
            </w:r>
            <w:r w:rsidR="004A727B">
              <w:rPr>
                <w:rFonts w:ascii="Times New Roman" w:hAnsi="Times New Roman" w:cs="Times New Roman"/>
                <w:bCs/>
                <w:sz w:val="16"/>
                <w:szCs w:val="16"/>
              </w:rPr>
              <w:t xml:space="preserve"> evenimentului</w:t>
            </w:r>
            <w:r w:rsidR="00326742" w:rsidRPr="00326742">
              <w:rPr>
                <w:rFonts w:ascii="Times New Roman" w:hAnsi="Times New Roman" w:cs="Times New Roman"/>
                <w:bCs/>
                <w:sz w:val="16"/>
                <w:szCs w:val="16"/>
              </w:rPr>
              <w:t xml:space="preserve"> </w:t>
            </w:r>
            <w:r w:rsidR="001F6250" w:rsidRPr="001F6250">
              <w:rPr>
                <w:rFonts w:ascii="Times New Roman" w:hAnsi="Times New Roman" w:cs="Times New Roman"/>
                <w:b/>
                <w:sz w:val="16"/>
                <w:szCs w:val="16"/>
              </w:rPr>
              <w:t xml:space="preserve">”Vrancea Trophy” etapa I </w:t>
            </w:r>
          </w:p>
          <w:p w14:paraId="2D457001" w14:textId="71268253" w:rsidR="00E755E2" w:rsidRPr="00723384" w:rsidRDefault="001F6250" w:rsidP="001F6250">
            <w:pPr>
              <w:spacing w:before="120" w:after="120"/>
              <w:rPr>
                <w:rFonts w:ascii="Times New Roman" w:hAnsi="Times New Roman" w:cs="Times New Roman"/>
                <w:b/>
                <w:bCs/>
                <w:sz w:val="16"/>
                <w:szCs w:val="16"/>
              </w:rPr>
            </w:pPr>
            <w:r w:rsidRPr="001F6250">
              <w:rPr>
                <w:rFonts w:ascii="Times New Roman" w:hAnsi="Times New Roman" w:cs="Times New Roman"/>
                <w:b/>
                <w:sz w:val="16"/>
                <w:szCs w:val="16"/>
              </w:rPr>
              <w:t>în perioada 8 - 24 iulie 2022</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2925B6CC" w14:textId="77777777" w:rsidR="001F6250" w:rsidRPr="001F6250" w:rsidRDefault="001F6250" w:rsidP="001F6250">
            <w:pPr>
              <w:spacing w:before="120" w:after="120"/>
              <w:rPr>
                <w:rFonts w:ascii="Times New Roman" w:hAnsi="Times New Roman" w:cs="Times New Roman"/>
                <w:b/>
                <w:bCs/>
                <w:sz w:val="16"/>
                <w:szCs w:val="16"/>
              </w:rPr>
            </w:pPr>
            <w:r w:rsidRPr="001F6250">
              <w:rPr>
                <w:rFonts w:ascii="Times New Roman" w:hAnsi="Times New Roman" w:cs="Times New Roman"/>
                <w:sz w:val="16"/>
                <w:szCs w:val="16"/>
              </w:rPr>
              <w:t xml:space="preserve">Organizarea evenimentului </w:t>
            </w:r>
            <w:r w:rsidRPr="001F6250">
              <w:rPr>
                <w:rFonts w:ascii="Times New Roman" w:hAnsi="Times New Roman" w:cs="Times New Roman"/>
                <w:b/>
                <w:bCs/>
                <w:sz w:val="16"/>
                <w:szCs w:val="16"/>
              </w:rPr>
              <w:t xml:space="preserve">”Vrancea Trophy” etapa I </w:t>
            </w:r>
          </w:p>
          <w:p w14:paraId="3555ECA3" w14:textId="26E283F5" w:rsidR="00AC3C1C" w:rsidRPr="007C40D5" w:rsidRDefault="001F6250" w:rsidP="001F6250">
            <w:pPr>
              <w:spacing w:before="120" w:after="120"/>
              <w:rPr>
                <w:rFonts w:ascii="Times New Roman" w:hAnsi="Times New Roman" w:cs="Times New Roman"/>
                <w:sz w:val="16"/>
                <w:szCs w:val="16"/>
              </w:rPr>
            </w:pPr>
            <w:r w:rsidRPr="001F6250">
              <w:rPr>
                <w:rFonts w:ascii="Times New Roman" w:hAnsi="Times New Roman" w:cs="Times New Roman"/>
                <w:b/>
                <w:bCs/>
                <w:sz w:val="16"/>
                <w:szCs w:val="16"/>
              </w:rPr>
              <w:t>în perioada 8 - 24 iulie 2022</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57E4971D" w:rsidR="00AC1629"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77860727" w14:textId="6BCD5847" w:rsidR="00ED1AAB" w:rsidRDefault="00ED1AAB" w:rsidP="00AC1629">
      <w:pPr>
        <w:jc w:val="both"/>
        <w:rPr>
          <w:rFonts w:ascii="Times New Roman" w:hAnsi="Times New Roman" w:cs="Times New Roman"/>
          <w:sz w:val="16"/>
          <w:szCs w:val="16"/>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 xml:space="preserve">Este înscris </w:t>
            </w:r>
            <w:proofErr w:type="spellStart"/>
            <w:r w:rsidRPr="007C40D5">
              <w:rPr>
                <w:rFonts w:ascii="Times New Roman" w:hAnsi="Times New Roman" w:cs="Times New Roman"/>
                <w:b/>
                <w:sz w:val="16"/>
                <w:szCs w:val="16"/>
              </w:rPr>
              <w:t>într</w:t>
            </w:r>
            <w:proofErr w:type="spellEnd"/>
            <w:r w:rsidRPr="007C40D5">
              <w:rPr>
                <w:rFonts w:ascii="Times New Roman" w:hAnsi="Times New Roman" w:cs="Times New Roman"/>
                <w:b/>
                <w:sz w:val="16"/>
                <w:szCs w:val="16"/>
              </w:rPr>
              <w:t>-unul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40D7DC08" w14:textId="77777777" w:rsidTr="0006437B">
        <w:tc>
          <w:tcPr>
            <w:tcW w:w="4531" w:type="dxa"/>
          </w:tcPr>
          <w:p w14:paraId="6A14BDB9"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38BF4F14"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E49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6209E87"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1076"/>
              <w:gridCol w:w="1076"/>
              <w:gridCol w:w="1076"/>
              <w:gridCol w:w="1077"/>
            </w:tblGrid>
            <w:tr w:rsidR="00702882" w:rsidRPr="007C40D5" w14:paraId="70B560DB" w14:textId="77777777" w:rsidTr="00702882">
              <w:tc>
                <w:tcPr>
                  <w:tcW w:w="1076" w:type="dxa"/>
                </w:tcPr>
                <w:p w14:paraId="2C6E5B57"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20B2D839"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081DBE5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781C4CA5"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4299A9B6" w14:textId="77777777" w:rsidTr="00702882">
              <w:tc>
                <w:tcPr>
                  <w:tcW w:w="1076" w:type="dxa"/>
                </w:tcPr>
                <w:p w14:paraId="7951A8C4"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CC4671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25B4530C"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E2BDD7" w14:textId="77777777" w:rsidR="00702882" w:rsidRPr="007C40D5" w:rsidRDefault="00702882" w:rsidP="00871E6D">
                  <w:pPr>
                    <w:rPr>
                      <w:rFonts w:ascii="Times New Roman" w:eastAsia="Times New Roman" w:hAnsi="Times New Roman" w:cs="Times New Roman"/>
                      <w:sz w:val="16"/>
                      <w:szCs w:val="16"/>
                      <w:lang w:eastAsia="ro-RO"/>
                    </w:rPr>
                  </w:pPr>
                </w:p>
              </w:tc>
            </w:tr>
          </w:tbl>
          <w:p w14:paraId="1C108555" w14:textId="77777777" w:rsidR="00B46E7B" w:rsidRPr="007C40D5" w:rsidRDefault="00B46E7B" w:rsidP="00B46E7B">
            <w:pPr>
              <w:spacing w:before="120" w:after="120"/>
              <w:rPr>
                <w:rFonts w:ascii="Times New Roman" w:hAnsi="Times New Roman" w:cs="Times New Roman"/>
                <w:sz w:val="16"/>
                <w:szCs w:val="16"/>
              </w:rPr>
            </w:pPr>
          </w:p>
        </w:tc>
      </w:tr>
      <w:tr w:rsidR="00947507" w:rsidRPr="007C40D5" w14:paraId="238F07FA" w14:textId="77777777" w:rsidTr="0006437B">
        <w:tc>
          <w:tcPr>
            <w:tcW w:w="4531" w:type="dxa"/>
          </w:tcPr>
          <w:p w14:paraId="30E13E1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(b) La 18 octombrie 2018 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1530D05"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A274AA4" w14:textId="77777777" w:rsidR="00AC1629" w:rsidRPr="007C40D5" w:rsidRDefault="00AC1629" w:rsidP="00E755E2">
      <w:pPr>
        <w:rPr>
          <w:rFonts w:ascii="Times New Roman" w:hAnsi="Times New Roman" w:cs="Times New Roman"/>
          <w:sz w:val="24"/>
          <w:szCs w:val="24"/>
        </w:rPr>
      </w:pPr>
    </w:p>
    <w:p w14:paraId="2067368B" w14:textId="77777777" w:rsidR="00AC1629" w:rsidRPr="007C40D5" w:rsidRDefault="00AC1629" w:rsidP="00E755E2">
      <w:pPr>
        <w:rPr>
          <w:rFonts w:ascii="Times New Roman" w:hAnsi="Times New Roman" w:cs="Times New Roman"/>
          <w:sz w:val="24"/>
          <w:szCs w:val="24"/>
        </w:rPr>
      </w:pPr>
    </w:p>
    <w:p w14:paraId="32A4387B" w14:textId="77777777" w:rsidR="00507F64" w:rsidRPr="007C40D5" w:rsidRDefault="00507F64" w:rsidP="00E755E2">
      <w:pPr>
        <w:rPr>
          <w:rFonts w:ascii="Times New Roman" w:hAnsi="Times New Roman" w:cs="Times New Roman"/>
          <w:sz w:val="24"/>
          <w:szCs w:val="24"/>
        </w:rPr>
      </w:pPr>
    </w:p>
    <w:p w14:paraId="6117932F" w14:textId="77777777" w:rsidR="00507F64" w:rsidRPr="007C40D5" w:rsidRDefault="00507F64" w:rsidP="00E755E2">
      <w:pPr>
        <w:rPr>
          <w:rFonts w:ascii="Times New Roman" w:hAnsi="Times New Roman" w:cs="Times New Roman"/>
          <w:sz w:val="24"/>
          <w:szCs w:val="24"/>
        </w:rPr>
      </w:pPr>
    </w:p>
    <w:p w14:paraId="60765D5F" w14:textId="77777777" w:rsidR="009038A9" w:rsidRPr="007C40D5" w:rsidRDefault="009038A9" w:rsidP="00E755E2">
      <w:pPr>
        <w:rPr>
          <w:rFonts w:ascii="Times New Roman" w:hAnsi="Times New Roman" w:cs="Times New Roman"/>
          <w:sz w:val="24"/>
          <w:szCs w:val="24"/>
        </w:rPr>
      </w:pPr>
    </w:p>
    <w:p w14:paraId="37E8E38C" w14:textId="77777777" w:rsidR="001B6B92" w:rsidRPr="007C40D5" w:rsidRDefault="001B6B92" w:rsidP="00E755E2">
      <w:pPr>
        <w:rPr>
          <w:rFonts w:ascii="Times New Roman" w:hAnsi="Times New Roman" w:cs="Times New Roman"/>
          <w:sz w:val="24"/>
          <w:szCs w:val="24"/>
        </w:rPr>
      </w:pPr>
    </w:p>
    <w:p w14:paraId="7C6E4A1F" w14:textId="77777777" w:rsidR="001B6B92" w:rsidRPr="007C40D5" w:rsidRDefault="001B6B92" w:rsidP="00E755E2">
      <w:pPr>
        <w:rPr>
          <w:rFonts w:ascii="Times New Roman" w:hAnsi="Times New Roman" w:cs="Times New Roman"/>
          <w:sz w:val="24"/>
          <w:szCs w:val="24"/>
        </w:rPr>
      </w:pPr>
    </w:p>
    <w:p w14:paraId="2E1E866B"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EA15" w14:textId="77777777" w:rsidR="002B2D2C" w:rsidRDefault="002B2D2C" w:rsidP="00BF73A5">
      <w:pPr>
        <w:spacing w:after="0" w:line="240" w:lineRule="auto"/>
      </w:pPr>
      <w:r>
        <w:separator/>
      </w:r>
    </w:p>
  </w:endnote>
  <w:endnote w:type="continuationSeparator" w:id="0">
    <w:p w14:paraId="327AA187" w14:textId="77777777" w:rsidR="002B2D2C" w:rsidRDefault="002B2D2C"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FD0C" w14:textId="77777777" w:rsidR="002B2D2C" w:rsidRDefault="002B2D2C" w:rsidP="00BF73A5">
      <w:pPr>
        <w:spacing w:after="0" w:line="240" w:lineRule="auto"/>
      </w:pPr>
      <w:r>
        <w:separator/>
      </w:r>
    </w:p>
  </w:footnote>
  <w:footnote w:type="continuationSeparator" w:id="0">
    <w:p w14:paraId="718BA11F" w14:textId="77777777" w:rsidR="002B2D2C" w:rsidRDefault="002B2D2C" w:rsidP="00BF73A5">
      <w:pPr>
        <w:spacing w:after="0" w:line="240" w:lineRule="auto"/>
      </w:pPr>
      <w:r>
        <w:continuationSeparator/>
      </w:r>
    </w:p>
  </w:footnote>
  <w:footnote w:id="1">
    <w:p w14:paraId="018BC44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6A03AE4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8193574"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48C0EDF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703F474F"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151B7B"/>
    <w:rsid w:val="00162F6D"/>
    <w:rsid w:val="00183324"/>
    <w:rsid w:val="001907A9"/>
    <w:rsid w:val="001B4969"/>
    <w:rsid w:val="001B6B92"/>
    <w:rsid w:val="001D0AD6"/>
    <w:rsid w:val="001F10CF"/>
    <w:rsid w:val="001F6250"/>
    <w:rsid w:val="00211CF9"/>
    <w:rsid w:val="0021204A"/>
    <w:rsid w:val="00223391"/>
    <w:rsid w:val="002242AF"/>
    <w:rsid w:val="00245920"/>
    <w:rsid w:val="002733BD"/>
    <w:rsid w:val="00285BEF"/>
    <w:rsid w:val="00286A9F"/>
    <w:rsid w:val="002A606C"/>
    <w:rsid w:val="002B1518"/>
    <w:rsid w:val="002B2D2C"/>
    <w:rsid w:val="002B3329"/>
    <w:rsid w:val="002C2568"/>
    <w:rsid w:val="002D1B2F"/>
    <w:rsid w:val="002D1EA1"/>
    <w:rsid w:val="002D366C"/>
    <w:rsid w:val="002F6CEE"/>
    <w:rsid w:val="003034E8"/>
    <w:rsid w:val="00312192"/>
    <w:rsid w:val="00326742"/>
    <w:rsid w:val="003465AB"/>
    <w:rsid w:val="00355ED4"/>
    <w:rsid w:val="00364528"/>
    <w:rsid w:val="0036631B"/>
    <w:rsid w:val="00376946"/>
    <w:rsid w:val="003D0671"/>
    <w:rsid w:val="003D2F3E"/>
    <w:rsid w:val="003D5900"/>
    <w:rsid w:val="003E0FA3"/>
    <w:rsid w:val="003F76F3"/>
    <w:rsid w:val="00406C08"/>
    <w:rsid w:val="00423C3D"/>
    <w:rsid w:val="00456CC7"/>
    <w:rsid w:val="00457AC0"/>
    <w:rsid w:val="00470E93"/>
    <w:rsid w:val="004771EA"/>
    <w:rsid w:val="00480403"/>
    <w:rsid w:val="004823A2"/>
    <w:rsid w:val="00487AE3"/>
    <w:rsid w:val="00493074"/>
    <w:rsid w:val="00494430"/>
    <w:rsid w:val="004A727B"/>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23384"/>
    <w:rsid w:val="00735004"/>
    <w:rsid w:val="00741BC6"/>
    <w:rsid w:val="007536D7"/>
    <w:rsid w:val="00756772"/>
    <w:rsid w:val="007C40D5"/>
    <w:rsid w:val="007F1DF1"/>
    <w:rsid w:val="008063C8"/>
    <w:rsid w:val="008154ED"/>
    <w:rsid w:val="00831575"/>
    <w:rsid w:val="00843CED"/>
    <w:rsid w:val="00851497"/>
    <w:rsid w:val="00871E6D"/>
    <w:rsid w:val="00887C5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1AAB"/>
    <w:rsid w:val="00ED2715"/>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EB7F-1D2E-4246-8E55-3CD72BE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GRĂDEANU ADINA-GABRIELA</cp:lastModifiedBy>
  <cp:revision>8</cp:revision>
  <cp:lastPrinted>2021-09-20T07:03:00Z</cp:lastPrinted>
  <dcterms:created xsi:type="dcterms:W3CDTF">2019-09-10T08:29:00Z</dcterms:created>
  <dcterms:modified xsi:type="dcterms:W3CDTF">2022-06-30T11:40:00Z</dcterms:modified>
</cp:coreProperties>
</file>