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16F7FBFE" w:rsidR="00E755E2" w:rsidRPr="00723384" w:rsidRDefault="00E755E2" w:rsidP="00723384">
            <w:pPr>
              <w:spacing w:before="120" w:after="120"/>
              <w:rPr>
                <w:rFonts w:ascii="Times New Roman" w:hAnsi="Times New Roman" w:cs="Times New Roman"/>
                <w:b/>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 evenimentului</w:t>
            </w:r>
            <w:r w:rsidR="00723384">
              <w:rPr>
                <w:rFonts w:ascii="Times New Roman" w:hAnsi="Times New Roman" w:cs="Times New Roman"/>
                <w:bCs/>
                <w:sz w:val="16"/>
                <w:szCs w:val="16"/>
              </w:rPr>
              <w:t xml:space="preserve"> </w:t>
            </w:r>
            <w:r w:rsidR="00326742" w:rsidRPr="00326742">
              <w:rPr>
                <w:rFonts w:ascii="Times New Roman" w:hAnsi="Times New Roman" w:cs="Times New Roman"/>
                <w:bCs/>
                <w:sz w:val="16"/>
                <w:szCs w:val="16"/>
              </w:rPr>
              <w:t xml:space="preserve"> </w:t>
            </w:r>
            <w:r w:rsidR="00723384" w:rsidRPr="00735004">
              <w:rPr>
                <w:rFonts w:ascii="Times New Roman" w:hAnsi="Times New Roman" w:cs="Times New Roman"/>
                <w:b/>
                <w:bCs/>
                <w:sz w:val="16"/>
                <w:szCs w:val="16"/>
              </w:rPr>
              <w:t>”</w:t>
            </w:r>
            <w:r w:rsidR="00AD0154">
              <w:rPr>
                <w:rFonts w:ascii="Times New Roman" w:hAnsi="Times New Roman" w:cs="Times New Roman"/>
                <w:b/>
                <w:bCs/>
                <w:sz w:val="16"/>
                <w:szCs w:val="16"/>
              </w:rPr>
              <w:t>Magia Crăciunului</w:t>
            </w:r>
            <w:r w:rsidR="00AD0154" w:rsidRPr="00723384">
              <w:rPr>
                <w:rFonts w:ascii="Times New Roman" w:hAnsi="Times New Roman" w:cs="Times New Roman"/>
                <w:b/>
                <w:bCs/>
                <w:sz w:val="16"/>
                <w:szCs w:val="16"/>
              </w:rPr>
              <w:t>”</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4E0A1B40"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Servici</w:t>
            </w:r>
            <w:r w:rsidR="00AD0154">
              <w:rPr>
                <w:rFonts w:ascii="Times New Roman" w:hAnsi="Times New Roman" w:cs="Times New Roman"/>
                <w:sz w:val="16"/>
                <w:szCs w:val="16"/>
              </w:rPr>
              <w:t xml:space="preserve">i de organizare a evenimentului </w:t>
            </w:r>
            <w:r w:rsidR="00AD0154" w:rsidRPr="00735004">
              <w:rPr>
                <w:rFonts w:ascii="Times New Roman" w:hAnsi="Times New Roman" w:cs="Times New Roman"/>
                <w:b/>
                <w:bCs/>
                <w:sz w:val="16"/>
                <w:szCs w:val="16"/>
              </w:rPr>
              <w:t>”</w:t>
            </w:r>
            <w:r w:rsidR="00AD0154">
              <w:rPr>
                <w:rFonts w:ascii="Times New Roman" w:hAnsi="Times New Roman" w:cs="Times New Roman"/>
                <w:b/>
                <w:bCs/>
                <w:sz w:val="16"/>
                <w:szCs w:val="16"/>
              </w:rPr>
              <w:t>Magia Crăciunului</w:t>
            </w:r>
            <w:r w:rsidR="00AD0154" w:rsidRPr="00723384">
              <w:rPr>
                <w:rFonts w:ascii="Times New Roman" w:hAnsi="Times New Roman" w:cs="Times New Roman"/>
                <w:b/>
                <w:bCs/>
                <w:sz w:val="16"/>
                <w:szCs w:val="16"/>
              </w:rPr>
              <w:t>”</w:t>
            </w:r>
            <w:bookmarkStart w:id="0" w:name="_GoBack"/>
            <w:bookmarkEnd w:id="0"/>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6577B81" w14:textId="77777777" w:rsidR="00162F6D" w:rsidRPr="007C40D5" w:rsidRDefault="00162F6D" w:rsidP="00E755E2">
      <w:pPr>
        <w:rPr>
          <w:rFonts w:ascii="Times New Roman" w:hAnsi="Times New Roman" w:cs="Times New Roman"/>
          <w:sz w:val="24"/>
          <w:szCs w:val="24"/>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5BBF" w14:textId="77777777" w:rsidR="004833E3" w:rsidRDefault="004833E3" w:rsidP="00BF73A5">
      <w:pPr>
        <w:spacing w:after="0" w:line="240" w:lineRule="auto"/>
      </w:pPr>
      <w:r>
        <w:separator/>
      </w:r>
    </w:p>
  </w:endnote>
  <w:endnote w:type="continuationSeparator" w:id="0">
    <w:p w14:paraId="7AA524AD" w14:textId="77777777" w:rsidR="004833E3" w:rsidRDefault="004833E3"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489A1" w14:textId="77777777" w:rsidR="004833E3" w:rsidRDefault="004833E3" w:rsidP="00BF73A5">
      <w:pPr>
        <w:spacing w:after="0" w:line="240" w:lineRule="auto"/>
      </w:pPr>
      <w:r>
        <w:separator/>
      </w:r>
    </w:p>
  </w:footnote>
  <w:footnote w:type="continuationSeparator" w:id="0">
    <w:p w14:paraId="58197313" w14:textId="77777777" w:rsidR="004833E3" w:rsidRDefault="004833E3"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33E3"/>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31575"/>
    <w:rsid w:val="00843CED"/>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D0154"/>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9F14-8E58-41CA-B3DB-BC562DEF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dumitriu adina</cp:lastModifiedBy>
  <cp:revision>5</cp:revision>
  <cp:lastPrinted>2016-08-29T13:13:00Z</cp:lastPrinted>
  <dcterms:created xsi:type="dcterms:W3CDTF">2019-09-10T08:29:00Z</dcterms:created>
  <dcterms:modified xsi:type="dcterms:W3CDTF">2019-11-18T11:57:00Z</dcterms:modified>
</cp:coreProperties>
</file>